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423D8" w14:textId="6548BF3C" w:rsidR="007F0AB7" w:rsidRPr="00BD02A7" w:rsidRDefault="00F81775" w:rsidP="00363F1F">
      <w:pPr>
        <w:jc w:val="center"/>
        <w:rPr>
          <w:rFonts w:ascii="Cambria" w:hAnsi="Cambria"/>
          <w:sz w:val="28"/>
          <w:szCs w:val="28"/>
          <w:lang w:val="pt-BR"/>
        </w:rPr>
      </w:pPr>
      <w:r w:rsidRPr="00BD02A7">
        <w:rPr>
          <w:rFonts w:ascii="Cambria" w:hAnsi="Cambria"/>
          <w:noProof/>
          <w14:ligatures w14:val="standardContextual"/>
        </w:rPr>
        <mc:AlternateContent>
          <mc:Choice Requires="wps">
            <w:drawing>
              <wp:anchor distT="0" distB="0" distL="114300" distR="114300" simplePos="0" relativeHeight="251665408" behindDoc="0" locked="0" layoutInCell="1" allowOverlap="1" wp14:anchorId="32DD4367" wp14:editId="6990571F">
                <wp:simplePos x="0" y="0"/>
                <wp:positionH relativeFrom="column">
                  <wp:posOffset>3657600</wp:posOffset>
                </wp:positionH>
                <wp:positionV relativeFrom="paragraph">
                  <wp:posOffset>-520700</wp:posOffset>
                </wp:positionV>
                <wp:extent cx="1887523" cy="520117"/>
                <wp:effectExtent l="0" t="0" r="0" b="0"/>
                <wp:wrapNone/>
                <wp:docPr id="969417697" name="Kotak Teks 2"/>
                <wp:cNvGraphicFramePr/>
                <a:graphic xmlns:a="http://schemas.openxmlformats.org/drawingml/2006/main">
                  <a:graphicData uri="http://schemas.microsoft.com/office/word/2010/wordprocessingShape">
                    <wps:wsp>
                      <wps:cNvSpPr txBox="1"/>
                      <wps:spPr>
                        <a:xfrm>
                          <a:off x="0" y="0"/>
                          <a:ext cx="1887523" cy="520117"/>
                        </a:xfrm>
                        <a:prstGeom prst="rect">
                          <a:avLst/>
                        </a:prstGeom>
                        <a:noFill/>
                        <a:ln w="6350">
                          <a:noFill/>
                        </a:ln>
                      </wps:spPr>
                      <wps:txbx>
                        <w:txbxContent>
                          <w:p w14:paraId="56A79E76" w14:textId="77777777" w:rsidR="00F81775" w:rsidRPr="001E6146" w:rsidRDefault="00F81775" w:rsidP="00F81775">
                            <w:pPr>
                              <w:tabs>
                                <w:tab w:val="left" w:pos="1276"/>
                              </w:tabs>
                              <w:spacing w:line="240" w:lineRule="auto"/>
                              <w:ind w:right="-38"/>
                              <w:rPr>
                                <w:rFonts w:ascii="Cambria" w:hAnsi="Cambria" w:cs="Times New Roman"/>
                                <w:b/>
                                <w:bCs/>
                                <w:kern w:val="36"/>
                                <w:lang w:eastAsia="en-ID"/>
                              </w:rPr>
                            </w:pPr>
                            <w:r w:rsidRPr="001E6146">
                              <w:rPr>
                                <w:rFonts w:ascii="Segoe UI Emoji" w:hAnsi="Segoe UI Emoji" w:cs="Segoe UI Emoji"/>
                                <w:b/>
                                <w:bCs/>
                                <w:kern w:val="36"/>
                                <w:lang w:eastAsia="en-ID"/>
                              </w:rPr>
                              <w:t>📘</w:t>
                            </w:r>
                            <w:r w:rsidRPr="001E6146">
                              <w:rPr>
                                <w:rFonts w:ascii="Cambria" w:hAnsi="Cambria" w:cs="Times New Roman"/>
                                <w:b/>
                                <w:bCs/>
                                <w:kern w:val="36"/>
                                <w:lang w:val="pt-BR" w:eastAsia="en-ID"/>
                              </w:rPr>
                              <w:t>E-ISSN</w:t>
                            </w:r>
                            <w:r>
                              <w:rPr>
                                <w:rFonts w:ascii="Cambria" w:hAnsi="Cambria" w:cs="Times New Roman"/>
                                <w:b/>
                                <w:bCs/>
                                <w:kern w:val="36"/>
                                <w:lang w:val="pt-BR" w:eastAsia="en-ID"/>
                              </w:rPr>
                              <w:tab/>
                            </w:r>
                            <w:r w:rsidRPr="001E6146">
                              <w:rPr>
                                <w:rFonts w:ascii="Cambria" w:hAnsi="Cambria" w:cs="Times New Roman"/>
                                <w:b/>
                                <w:bCs/>
                                <w:kern w:val="36"/>
                                <w:lang w:val="pt-BR" w:eastAsia="en-ID"/>
                              </w:rPr>
                              <w:t xml:space="preserve">: </w:t>
                            </w:r>
                            <w:hyperlink r:id="rId8" w:history="1">
                              <w:r w:rsidRPr="001E6146">
                                <w:rPr>
                                  <w:rStyle w:val="Hyperlink"/>
                                  <w:rFonts w:ascii="Cambria" w:hAnsi="Cambria" w:cs="Times New Roman"/>
                                  <w:b/>
                                  <w:bCs/>
                                  <w:kern w:val="36"/>
                                  <w:lang w:val="pt-BR" w:eastAsia="en-ID"/>
                                </w:rPr>
                                <w:t>2809-0748</w:t>
                              </w:r>
                            </w:hyperlink>
                          </w:p>
                          <w:p w14:paraId="7776EB1B" w14:textId="77777777" w:rsidR="00F81775" w:rsidRPr="001E6146" w:rsidRDefault="00F81775" w:rsidP="00F81775">
                            <w:pPr>
                              <w:tabs>
                                <w:tab w:val="left" w:pos="1276"/>
                              </w:tabs>
                              <w:spacing w:line="240" w:lineRule="auto"/>
                              <w:ind w:right="-38"/>
                              <w:rPr>
                                <w:rFonts w:ascii="Cambria" w:hAnsi="Cambria" w:cs="Times New Roman"/>
                                <w:b/>
                                <w:bCs/>
                                <w:kern w:val="36"/>
                                <w:lang w:eastAsia="en-ID"/>
                              </w:rPr>
                            </w:pPr>
                            <w:r w:rsidRPr="001E6146">
                              <w:rPr>
                                <w:rFonts w:ascii="Segoe UI Emoji" w:hAnsi="Segoe UI Emoji" w:cs="Segoe UI Emoji"/>
                                <w:b/>
                                <w:bCs/>
                                <w:kern w:val="36"/>
                                <w:lang w:eastAsia="en-ID"/>
                              </w:rPr>
                              <w:t>📕</w:t>
                            </w:r>
                            <w:r w:rsidRPr="001E6146">
                              <w:rPr>
                                <w:rFonts w:ascii="Cambria" w:hAnsi="Cambria" w:cs="Times New Roman"/>
                                <w:b/>
                                <w:bCs/>
                                <w:kern w:val="36"/>
                                <w:lang w:val="pt-BR" w:eastAsia="en-ID"/>
                              </w:rPr>
                              <w:t>P-ISSN</w:t>
                            </w:r>
                            <w:r>
                              <w:rPr>
                                <w:rFonts w:ascii="Cambria" w:hAnsi="Cambria" w:cs="Times New Roman"/>
                                <w:b/>
                                <w:bCs/>
                                <w:kern w:val="36"/>
                                <w:lang w:val="pt-BR" w:eastAsia="en-ID"/>
                              </w:rPr>
                              <w:tab/>
                            </w:r>
                            <w:r w:rsidRPr="001E6146">
                              <w:rPr>
                                <w:rFonts w:ascii="Cambria" w:hAnsi="Cambria" w:cs="Times New Roman"/>
                                <w:b/>
                                <w:bCs/>
                                <w:kern w:val="36"/>
                                <w:lang w:val="pt-BR" w:eastAsia="en-ID"/>
                              </w:rPr>
                              <w:t xml:space="preserve">: </w:t>
                            </w:r>
                            <w:hyperlink r:id="rId9" w:history="1">
                              <w:r w:rsidRPr="001E6146">
                                <w:rPr>
                                  <w:rStyle w:val="Hyperlink"/>
                                  <w:rFonts w:ascii="Cambria" w:hAnsi="Cambria" w:cs="Times New Roman"/>
                                  <w:b/>
                                  <w:bCs/>
                                  <w:kern w:val="36"/>
                                  <w:lang w:val="pt-BR" w:eastAsia="en-ID"/>
                                </w:rPr>
                                <w:t>2809-1078</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DD4367" id="_x0000_t202" coordsize="21600,21600" o:spt="202" path="m,l,21600r21600,l21600,xe">
                <v:stroke joinstyle="miter"/>
                <v:path gradientshapeok="t" o:connecttype="rect"/>
              </v:shapetype>
              <v:shape id="Kotak Teks 2" o:spid="_x0000_s1026" type="#_x0000_t202" style="position:absolute;left:0;text-align:left;margin-left:4in;margin-top:-41pt;width:148.6pt;height:4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" filled="f" stroked="f" strokeweight=".5pt">
                <v:textbox>
                  <w:txbxContent>
                    <w:p w14:paraId="56A79E76" w14:textId="77777777" w:rsidR="00F81775" w:rsidRPr="001E6146" w:rsidRDefault="00F81775" w:rsidP="00F81775">
                      <w:pPr>
                        <w:tabs>
                          <w:tab w:val="left" w:pos="1276"/>
                        </w:tabs>
                        <w:spacing w:line="240" w:lineRule="auto"/>
                        <w:ind w:right="-38"/>
                        <w:rPr>
                          <w:rFonts w:ascii="Cambria" w:hAnsi="Cambria" w:cs="Times New Roman"/>
                          <w:b/>
                          <w:bCs/>
                          <w:kern w:val="36"/>
                          <w:lang w:eastAsia="en-ID"/>
                        </w:rPr>
                      </w:pPr>
                      <w:r w:rsidRPr="001E6146">
                        <w:rPr>
                          <w:rFonts w:ascii="Segoe UI Emoji" w:hAnsi="Segoe UI Emoji" w:cs="Segoe UI Emoji"/>
                          <w:b/>
                          <w:bCs/>
                          <w:kern w:val="36"/>
                          <w:lang w:eastAsia="en-ID"/>
                        </w:rPr>
                        <w:t>📘</w:t>
                      </w:r>
                      <w:r w:rsidRPr="001E6146">
                        <w:rPr>
                          <w:rFonts w:ascii="Cambria" w:hAnsi="Cambria" w:cs="Times New Roman"/>
                          <w:b/>
                          <w:bCs/>
                          <w:kern w:val="36"/>
                          <w:lang w:val="pt-BR" w:eastAsia="en-ID"/>
                        </w:rPr>
                        <w:t>E-ISSN</w:t>
                      </w:r>
                      <w:r>
                        <w:rPr>
                          <w:rFonts w:ascii="Cambria" w:hAnsi="Cambria" w:cs="Times New Roman"/>
                          <w:b/>
                          <w:bCs/>
                          <w:kern w:val="36"/>
                          <w:lang w:val="pt-BR" w:eastAsia="en-ID"/>
                        </w:rPr>
                        <w:tab/>
                      </w:r>
                      <w:r w:rsidRPr="001E6146">
                        <w:rPr>
                          <w:rFonts w:ascii="Cambria" w:hAnsi="Cambria" w:cs="Times New Roman"/>
                          <w:b/>
                          <w:bCs/>
                          <w:kern w:val="36"/>
                          <w:lang w:val="pt-BR" w:eastAsia="en-ID"/>
                        </w:rPr>
                        <w:t xml:space="preserve">: </w:t>
                      </w:r>
                      <w:hyperlink r:id="rId10" w:history="1">
                        <w:r w:rsidRPr="001E6146">
                          <w:rPr>
                            <w:rStyle w:val="Hyperlink"/>
                            <w:rFonts w:ascii="Cambria" w:hAnsi="Cambria" w:cs="Times New Roman"/>
                            <w:b/>
                            <w:bCs/>
                            <w:kern w:val="36"/>
                            <w:lang w:val="pt-BR" w:eastAsia="en-ID"/>
                          </w:rPr>
                          <w:t>2809-0748</w:t>
                        </w:r>
                      </w:hyperlink>
                    </w:p>
                    <w:p w14:paraId="7776EB1B" w14:textId="77777777" w:rsidR="00F81775" w:rsidRPr="001E6146" w:rsidRDefault="00F81775" w:rsidP="00F81775">
                      <w:pPr>
                        <w:tabs>
                          <w:tab w:val="left" w:pos="1276"/>
                        </w:tabs>
                        <w:spacing w:line="240" w:lineRule="auto"/>
                        <w:ind w:right="-38"/>
                        <w:rPr>
                          <w:rFonts w:ascii="Cambria" w:hAnsi="Cambria" w:cs="Times New Roman"/>
                          <w:b/>
                          <w:bCs/>
                          <w:kern w:val="36"/>
                          <w:lang w:eastAsia="en-ID"/>
                        </w:rPr>
                      </w:pPr>
                      <w:r w:rsidRPr="001E6146">
                        <w:rPr>
                          <w:rFonts w:ascii="Segoe UI Emoji" w:hAnsi="Segoe UI Emoji" w:cs="Segoe UI Emoji"/>
                          <w:b/>
                          <w:bCs/>
                          <w:kern w:val="36"/>
                          <w:lang w:eastAsia="en-ID"/>
                        </w:rPr>
                        <w:t>📕</w:t>
                      </w:r>
                      <w:r w:rsidRPr="001E6146">
                        <w:rPr>
                          <w:rFonts w:ascii="Cambria" w:hAnsi="Cambria" w:cs="Times New Roman"/>
                          <w:b/>
                          <w:bCs/>
                          <w:kern w:val="36"/>
                          <w:lang w:val="pt-BR" w:eastAsia="en-ID"/>
                        </w:rPr>
                        <w:t>P-ISSN</w:t>
                      </w:r>
                      <w:r>
                        <w:rPr>
                          <w:rFonts w:ascii="Cambria" w:hAnsi="Cambria" w:cs="Times New Roman"/>
                          <w:b/>
                          <w:bCs/>
                          <w:kern w:val="36"/>
                          <w:lang w:val="pt-BR" w:eastAsia="en-ID"/>
                        </w:rPr>
                        <w:tab/>
                      </w:r>
                      <w:r w:rsidRPr="001E6146">
                        <w:rPr>
                          <w:rFonts w:ascii="Cambria" w:hAnsi="Cambria" w:cs="Times New Roman"/>
                          <w:b/>
                          <w:bCs/>
                          <w:kern w:val="36"/>
                          <w:lang w:val="pt-BR" w:eastAsia="en-ID"/>
                        </w:rPr>
                        <w:t xml:space="preserve">: </w:t>
                      </w:r>
                      <w:hyperlink r:id="rId11" w:history="1">
                        <w:r w:rsidRPr="001E6146">
                          <w:rPr>
                            <w:rStyle w:val="Hyperlink"/>
                            <w:rFonts w:ascii="Cambria" w:hAnsi="Cambria" w:cs="Times New Roman"/>
                            <w:b/>
                            <w:bCs/>
                            <w:kern w:val="36"/>
                            <w:lang w:val="pt-BR" w:eastAsia="en-ID"/>
                          </w:rPr>
                          <w:t>2809-1078</w:t>
                        </w:r>
                      </w:hyperlink>
                    </w:p>
                  </w:txbxContent>
                </v:textbox>
              </v:shape>
            </w:pict>
          </mc:Fallback>
        </mc:AlternateContent>
      </w:r>
      <w:r w:rsidR="00BA151D" w:rsidRPr="00BD02A7">
        <w:rPr>
          <w:rFonts w:ascii="Cambria" w:hAnsi="Cambria"/>
          <w:noProof/>
        </w:rPr>
        <w:drawing>
          <wp:anchor distT="0" distB="0" distL="114300" distR="114300" simplePos="0" relativeHeight="251661312" behindDoc="0" locked="0" layoutInCell="1" allowOverlap="1" wp14:anchorId="064D24CD" wp14:editId="04E8B71E">
            <wp:simplePos x="0" y="0"/>
            <wp:positionH relativeFrom="margin">
              <wp:posOffset>-157346</wp:posOffset>
            </wp:positionH>
            <wp:positionV relativeFrom="margin">
              <wp:posOffset>-434865</wp:posOffset>
            </wp:positionV>
            <wp:extent cx="302004" cy="335559"/>
            <wp:effectExtent l="0" t="0" r="3175" b="0"/>
            <wp:wrapNone/>
            <wp:docPr id="1" name="Picture 5" descr="A brown and yellow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5" descr="A brown and yellow logo&#10;&#10;AI-generated content may be incorrect."/>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7027" cy="341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19FB" w:rsidRPr="00BD02A7">
        <w:rPr>
          <w:rFonts w:ascii="Cambria" w:hAnsi="Cambria"/>
          <w:noProof/>
          <w14:ligatures w14:val="standardContextual"/>
        </w:rPr>
        <mc:AlternateContent>
          <mc:Choice Requires="wps">
            <w:drawing>
              <wp:anchor distT="0" distB="0" distL="114300" distR="114300" simplePos="0" relativeHeight="251663360" behindDoc="0" locked="0" layoutInCell="1" allowOverlap="1" wp14:anchorId="13BC4B49" wp14:editId="28FE8F68">
                <wp:simplePos x="0" y="0"/>
                <wp:positionH relativeFrom="column">
                  <wp:posOffset>142612</wp:posOffset>
                </wp:positionH>
                <wp:positionV relativeFrom="paragraph">
                  <wp:posOffset>-478691</wp:posOffset>
                </wp:positionV>
                <wp:extent cx="1828800" cy="444616"/>
                <wp:effectExtent l="0" t="0" r="0" b="0"/>
                <wp:wrapNone/>
                <wp:docPr id="912167947" name="Kotak Teks 1"/>
                <wp:cNvGraphicFramePr/>
                <a:graphic xmlns:a="http://schemas.openxmlformats.org/drawingml/2006/main">
                  <a:graphicData uri="http://schemas.microsoft.com/office/word/2010/wordprocessingShape">
                    <wps:wsp>
                      <wps:cNvSpPr txBox="1"/>
                      <wps:spPr>
                        <a:xfrm>
                          <a:off x="0" y="0"/>
                          <a:ext cx="1828800" cy="444616"/>
                        </a:xfrm>
                        <a:prstGeom prst="rect">
                          <a:avLst/>
                        </a:prstGeom>
                        <a:noFill/>
                        <a:ln w="6350">
                          <a:noFill/>
                        </a:ln>
                      </wps:spPr>
                      <wps:txbx>
                        <w:txbxContent>
                          <w:p w14:paraId="74776E83" w14:textId="77777777" w:rsidR="00F919FB" w:rsidRPr="00363F1F" w:rsidRDefault="00F919FB" w:rsidP="00F919FB">
                            <w:pPr>
                              <w:pStyle w:val="Header"/>
                              <w:rPr>
                                <w:rFonts w:ascii="Cambria" w:hAnsi="Cambria" w:cs="Times New Roman"/>
                                <w:b/>
                                <w:bCs/>
                                <w:kern w:val="36"/>
                                <w:sz w:val="28"/>
                                <w:szCs w:val="28"/>
                                <w:lang w:val="pt-BR" w:eastAsia="en-ID"/>
                              </w:rPr>
                            </w:pPr>
                            <w:r w:rsidRPr="00363F1F">
                              <w:rPr>
                                <w:rFonts w:ascii="Cambria" w:hAnsi="Cambria" w:cs="Times New Roman"/>
                                <w:b/>
                                <w:bCs/>
                                <w:kern w:val="36"/>
                                <w:lang w:val="pt-BR" w:eastAsia="en-ID"/>
                              </w:rPr>
                              <w:t>Jurnal Antologi Hukum</w:t>
                            </w:r>
                          </w:p>
                          <w:p w14:paraId="24D77A7F" w14:textId="0D01F538" w:rsidR="00F919FB" w:rsidRPr="00363F1F" w:rsidRDefault="00F919FB" w:rsidP="00F919FB">
                            <w:pPr>
                              <w:rPr>
                                <w:rFonts w:ascii="Cambria" w:hAnsi="Cambria"/>
                                <w:lang w:val="pt-BR"/>
                              </w:rPr>
                            </w:pPr>
                            <w:r w:rsidRPr="00363F1F">
                              <w:rPr>
                                <w:rFonts w:ascii="Cambria" w:hAnsi="Cambria" w:cs="Times New Roman"/>
                                <w:b/>
                                <w:bCs/>
                                <w:kern w:val="36"/>
                                <w:sz w:val="20"/>
                                <w:szCs w:val="20"/>
                                <w:lang w:val="pt-BR" w:eastAsia="en-ID"/>
                              </w:rPr>
                              <w:t xml:space="preserve">Vol. </w:t>
                            </w:r>
                            <w:r w:rsidR="006B7996">
                              <w:rPr>
                                <w:rFonts w:ascii="Cambria" w:hAnsi="Cambria" w:cs="Times New Roman"/>
                                <w:b/>
                                <w:bCs/>
                                <w:kern w:val="36"/>
                                <w:sz w:val="20"/>
                                <w:szCs w:val="20"/>
                                <w:lang w:val="pt-BR" w:eastAsia="en-ID"/>
                              </w:rPr>
                              <w:t>6</w:t>
                            </w:r>
                            <w:r w:rsidRPr="00363F1F">
                              <w:rPr>
                                <w:rFonts w:ascii="Cambria" w:hAnsi="Cambria" w:cs="Times New Roman"/>
                                <w:b/>
                                <w:bCs/>
                                <w:kern w:val="36"/>
                                <w:sz w:val="20"/>
                                <w:szCs w:val="20"/>
                                <w:lang w:val="pt-BR" w:eastAsia="en-ID"/>
                              </w:rPr>
                              <w:t xml:space="preserve">, No. </w:t>
                            </w:r>
                            <w:r w:rsidR="006B7996">
                              <w:rPr>
                                <w:rFonts w:ascii="Cambria" w:hAnsi="Cambria" w:cs="Times New Roman"/>
                                <w:b/>
                                <w:bCs/>
                                <w:kern w:val="36"/>
                                <w:sz w:val="20"/>
                                <w:szCs w:val="20"/>
                                <w:lang w:val="pt-BR" w:eastAsia="en-ID"/>
                              </w:rPr>
                              <w:t>1</w:t>
                            </w:r>
                            <w:r w:rsidRPr="00363F1F">
                              <w:rPr>
                                <w:rFonts w:ascii="Cambria" w:hAnsi="Cambria" w:cs="Times New Roman"/>
                                <w:b/>
                                <w:bCs/>
                                <w:kern w:val="36"/>
                                <w:sz w:val="20"/>
                                <w:szCs w:val="20"/>
                                <w:lang w:val="pt-BR" w:eastAsia="en-ID"/>
                              </w:rPr>
                              <w:t xml:space="preserve">, </w:t>
                            </w:r>
                            <w:r w:rsidR="006B7996">
                              <w:rPr>
                                <w:rFonts w:ascii="Cambria" w:hAnsi="Cambria" w:cs="Times New Roman"/>
                                <w:b/>
                                <w:bCs/>
                                <w:kern w:val="36"/>
                                <w:sz w:val="20"/>
                                <w:szCs w:val="20"/>
                                <w:lang w:val="pt-BR" w:eastAsia="en-ID"/>
                              </w:rPr>
                              <w:t>July</w:t>
                            </w:r>
                            <w:r w:rsidR="00125F09">
                              <w:rPr>
                                <w:rFonts w:ascii="Cambria" w:hAnsi="Cambria" w:cs="Times New Roman"/>
                                <w:b/>
                                <w:bCs/>
                                <w:kern w:val="36"/>
                                <w:sz w:val="20"/>
                                <w:szCs w:val="20"/>
                                <w:lang w:val="pt-BR" w:eastAsia="en-ID"/>
                              </w:rPr>
                              <w:t xml:space="preserve"> </w:t>
                            </w:r>
                            <w:r w:rsidRPr="00363F1F">
                              <w:rPr>
                                <w:rFonts w:ascii="Cambria" w:hAnsi="Cambria" w:cs="Times New Roman"/>
                                <w:b/>
                                <w:bCs/>
                                <w:kern w:val="36"/>
                                <w:sz w:val="20"/>
                                <w:szCs w:val="20"/>
                                <w:lang w:val="pt-BR" w:eastAsia="en-ID"/>
                              </w:rPr>
                              <w:t>202</w:t>
                            </w:r>
                            <w:r w:rsidR="006B7996">
                              <w:rPr>
                                <w:rFonts w:ascii="Cambria" w:hAnsi="Cambria" w:cs="Times New Roman"/>
                                <w:b/>
                                <w:bCs/>
                                <w:kern w:val="36"/>
                                <w:sz w:val="20"/>
                                <w:szCs w:val="20"/>
                                <w:lang w:val="pt-BR" w:eastAsia="en-ID"/>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C4B49" id="Kotak Teks 1" o:spid="_x0000_s1027" type="#_x0000_t202" style="position:absolute;left:0;text-align:left;margin-left:11.25pt;margin-top:-37.7pt;width:2in;height: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" filled="f" stroked="f" strokeweight=".5pt">
                <v:textbox>
                  <w:txbxContent>
                    <w:p w14:paraId="74776E83" w14:textId="77777777" w:rsidR="00F919FB" w:rsidRPr="00363F1F" w:rsidRDefault="00F919FB" w:rsidP="00F919FB">
                      <w:pPr>
                        <w:pStyle w:val="Header"/>
                        <w:rPr>
                          <w:rFonts w:ascii="Cambria" w:hAnsi="Cambria" w:cs="Times New Roman"/>
                          <w:b/>
                          <w:bCs/>
                          <w:kern w:val="36"/>
                          <w:sz w:val="28"/>
                          <w:szCs w:val="28"/>
                          <w:lang w:val="pt-BR" w:eastAsia="en-ID"/>
                        </w:rPr>
                      </w:pPr>
                      <w:r w:rsidRPr="00363F1F">
                        <w:rPr>
                          <w:rFonts w:ascii="Cambria" w:hAnsi="Cambria" w:cs="Times New Roman"/>
                          <w:b/>
                          <w:bCs/>
                          <w:kern w:val="36"/>
                          <w:lang w:val="pt-BR" w:eastAsia="en-ID"/>
                        </w:rPr>
                        <w:t>Jurnal Antologi Hukum</w:t>
                      </w:r>
                    </w:p>
                    <w:p w14:paraId="24D77A7F" w14:textId="0D01F538" w:rsidR="00F919FB" w:rsidRPr="00363F1F" w:rsidRDefault="00F919FB" w:rsidP="00F919FB">
                      <w:pPr>
                        <w:rPr>
                          <w:rFonts w:ascii="Cambria" w:hAnsi="Cambria"/>
                          <w:lang w:val="pt-BR"/>
                        </w:rPr>
                      </w:pPr>
                      <w:r w:rsidRPr="00363F1F">
                        <w:rPr>
                          <w:rFonts w:ascii="Cambria" w:hAnsi="Cambria" w:cs="Times New Roman"/>
                          <w:b/>
                          <w:bCs/>
                          <w:kern w:val="36"/>
                          <w:sz w:val="20"/>
                          <w:szCs w:val="20"/>
                          <w:lang w:val="pt-BR" w:eastAsia="en-ID"/>
                        </w:rPr>
                        <w:t xml:space="preserve">Vol. </w:t>
                      </w:r>
                      <w:r w:rsidR="006B7996">
                        <w:rPr>
                          <w:rFonts w:ascii="Cambria" w:hAnsi="Cambria" w:cs="Times New Roman"/>
                          <w:b/>
                          <w:bCs/>
                          <w:kern w:val="36"/>
                          <w:sz w:val="20"/>
                          <w:szCs w:val="20"/>
                          <w:lang w:val="pt-BR" w:eastAsia="en-ID"/>
                        </w:rPr>
                        <w:t>6</w:t>
                      </w:r>
                      <w:r w:rsidRPr="00363F1F">
                        <w:rPr>
                          <w:rFonts w:ascii="Cambria" w:hAnsi="Cambria" w:cs="Times New Roman"/>
                          <w:b/>
                          <w:bCs/>
                          <w:kern w:val="36"/>
                          <w:sz w:val="20"/>
                          <w:szCs w:val="20"/>
                          <w:lang w:val="pt-BR" w:eastAsia="en-ID"/>
                        </w:rPr>
                        <w:t xml:space="preserve">, No. </w:t>
                      </w:r>
                      <w:r w:rsidR="006B7996">
                        <w:rPr>
                          <w:rFonts w:ascii="Cambria" w:hAnsi="Cambria" w:cs="Times New Roman"/>
                          <w:b/>
                          <w:bCs/>
                          <w:kern w:val="36"/>
                          <w:sz w:val="20"/>
                          <w:szCs w:val="20"/>
                          <w:lang w:val="pt-BR" w:eastAsia="en-ID"/>
                        </w:rPr>
                        <w:t>1</w:t>
                      </w:r>
                      <w:r w:rsidRPr="00363F1F">
                        <w:rPr>
                          <w:rFonts w:ascii="Cambria" w:hAnsi="Cambria" w:cs="Times New Roman"/>
                          <w:b/>
                          <w:bCs/>
                          <w:kern w:val="36"/>
                          <w:sz w:val="20"/>
                          <w:szCs w:val="20"/>
                          <w:lang w:val="pt-BR" w:eastAsia="en-ID"/>
                        </w:rPr>
                        <w:t xml:space="preserve">, </w:t>
                      </w:r>
                      <w:r w:rsidR="006B7996">
                        <w:rPr>
                          <w:rFonts w:ascii="Cambria" w:hAnsi="Cambria" w:cs="Times New Roman"/>
                          <w:b/>
                          <w:bCs/>
                          <w:kern w:val="36"/>
                          <w:sz w:val="20"/>
                          <w:szCs w:val="20"/>
                          <w:lang w:val="pt-BR" w:eastAsia="en-ID"/>
                        </w:rPr>
                        <w:t>July</w:t>
                      </w:r>
                      <w:r w:rsidR="00125F09">
                        <w:rPr>
                          <w:rFonts w:ascii="Cambria" w:hAnsi="Cambria" w:cs="Times New Roman"/>
                          <w:b/>
                          <w:bCs/>
                          <w:kern w:val="36"/>
                          <w:sz w:val="20"/>
                          <w:szCs w:val="20"/>
                          <w:lang w:val="pt-BR" w:eastAsia="en-ID"/>
                        </w:rPr>
                        <w:t xml:space="preserve"> </w:t>
                      </w:r>
                      <w:r w:rsidRPr="00363F1F">
                        <w:rPr>
                          <w:rFonts w:ascii="Cambria" w:hAnsi="Cambria" w:cs="Times New Roman"/>
                          <w:b/>
                          <w:bCs/>
                          <w:kern w:val="36"/>
                          <w:sz w:val="20"/>
                          <w:szCs w:val="20"/>
                          <w:lang w:val="pt-BR" w:eastAsia="en-ID"/>
                        </w:rPr>
                        <w:t>202</w:t>
                      </w:r>
                      <w:r w:rsidR="006B7996">
                        <w:rPr>
                          <w:rFonts w:ascii="Cambria" w:hAnsi="Cambria" w:cs="Times New Roman"/>
                          <w:b/>
                          <w:bCs/>
                          <w:kern w:val="36"/>
                          <w:sz w:val="20"/>
                          <w:szCs w:val="20"/>
                          <w:lang w:val="pt-BR" w:eastAsia="en-ID"/>
                        </w:rPr>
                        <w:t>6</w:t>
                      </w:r>
                    </w:p>
                  </w:txbxContent>
                </v:textbox>
              </v:shape>
            </w:pict>
          </mc:Fallback>
        </mc:AlternateContent>
      </w:r>
    </w:p>
    <w:p w14:paraId="35B2E6D6" w14:textId="07A37145" w:rsidR="00363F1F" w:rsidRPr="00BD02A7" w:rsidRDefault="00B76C58" w:rsidP="0031562E">
      <w:pPr>
        <w:jc w:val="center"/>
        <w:rPr>
          <w:rFonts w:ascii="Cambria" w:hAnsi="Cambria"/>
          <w:b/>
          <w:bCs/>
          <w:sz w:val="28"/>
          <w:szCs w:val="28"/>
          <w:lang w:val="pt-BR"/>
        </w:rPr>
      </w:pPr>
      <w:r w:rsidRPr="004D3474">
        <w:rPr>
          <w:rFonts w:ascii="Cambria" w:eastAsia="Cambria" w:hAnsi="Cambria" w:cs="Cambria"/>
          <w:b/>
          <w:sz w:val="28"/>
          <w:szCs w:val="28"/>
        </w:rPr>
        <w:t>FIKIH PERADABAN DAN KESETARAAN GENDER: PERAN PESANTREN JAWA TIMUR DALAM MERESPONS ISU KONTEMPORER</w:t>
      </w:r>
    </w:p>
    <w:p w14:paraId="5A4882AB" w14:textId="1B21A5B3" w:rsidR="00BA067B" w:rsidRPr="006B7996" w:rsidRDefault="00B76C58" w:rsidP="00BA067B">
      <w:pPr>
        <w:spacing w:line="240" w:lineRule="auto"/>
        <w:jc w:val="center"/>
        <w:rPr>
          <w:rFonts w:ascii="Cambria" w:hAnsi="Cambria"/>
          <w:lang w:val="pt-BR"/>
        </w:rPr>
      </w:pPr>
      <w:r w:rsidRPr="004D3474">
        <w:rPr>
          <w:rFonts w:ascii="Cambria" w:eastAsia="Cambria" w:hAnsi="Cambria" w:cs="Cambria"/>
        </w:rPr>
        <w:t>Husnul Haq</w:t>
      </w:r>
      <w:r w:rsidRPr="004D3474">
        <w:rPr>
          <w:rFonts w:ascii="Cambria" w:eastAsia="Cambria" w:hAnsi="Cambria" w:cs="Cambria"/>
          <w:vertAlign w:val="superscript"/>
        </w:rPr>
        <w:t>1</w:t>
      </w:r>
      <w:r w:rsidRPr="004D3474">
        <w:rPr>
          <w:rFonts w:ascii="Cambria" w:eastAsia="Cambria" w:hAnsi="Cambria" w:cs="Cambria"/>
        </w:rPr>
        <w:t>, Septi Wulan Sari</w:t>
      </w:r>
      <w:r w:rsidRPr="004D3474">
        <w:rPr>
          <w:rFonts w:ascii="Cambria" w:eastAsia="Cambria" w:hAnsi="Cambria" w:cs="Cambria"/>
          <w:vertAlign w:val="superscript"/>
        </w:rPr>
        <w:t>2</w:t>
      </w:r>
    </w:p>
    <w:p w14:paraId="656CCAD3" w14:textId="47D5AD6A" w:rsidR="009348FF" w:rsidRPr="00D92A0B" w:rsidRDefault="009348FF" w:rsidP="009348FF">
      <w:pPr>
        <w:spacing w:line="240" w:lineRule="auto"/>
        <w:jc w:val="center"/>
        <w:rPr>
          <w:rFonts w:ascii="Cambria" w:eastAsia="Cambria" w:hAnsi="Cambria" w:cs="Cambria"/>
          <w:vertAlign w:val="superscript"/>
          <w:lang w:val="sv-SE"/>
        </w:rPr>
      </w:pPr>
      <w:r w:rsidRPr="00D92A0B">
        <w:rPr>
          <w:rFonts w:ascii="Cambria" w:eastAsia="Cambria" w:hAnsi="Cambria" w:cs="Cambria"/>
          <w:vertAlign w:val="superscript"/>
          <w:lang w:val="sv-SE"/>
        </w:rPr>
        <w:t>1,</w:t>
      </w:r>
      <w:r>
        <w:rPr>
          <w:rFonts w:ascii="Cambria" w:eastAsia="Cambria" w:hAnsi="Cambria" w:cs="Cambria"/>
          <w:vertAlign w:val="superscript"/>
          <w:lang w:val="sv-SE"/>
        </w:rPr>
        <w:t>2</w:t>
      </w:r>
      <w:r w:rsidR="00B76C58" w:rsidRPr="00B76C58">
        <w:rPr>
          <w:rFonts w:ascii="Cambria" w:eastAsia="Cambria" w:hAnsi="Cambria" w:cs="Cambria"/>
          <w:lang w:val="sv-SE"/>
        </w:rPr>
        <w:t>Universitas Islam Negeri Sayyid Ali Rahmatullah Tulungagung</w:t>
      </w:r>
    </w:p>
    <w:p w14:paraId="65088C7F" w14:textId="40549BA9" w:rsidR="009348FF" w:rsidRPr="009348FF" w:rsidRDefault="009348FF" w:rsidP="009348FF">
      <w:pPr>
        <w:spacing w:line="240" w:lineRule="auto"/>
        <w:jc w:val="center"/>
        <w:rPr>
          <w:rFonts w:ascii="Cambria" w:eastAsia="Cambria" w:hAnsi="Cambria" w:cs="Cambria"/>
          <w:i/>
          <w:lang w:val="en-ID"/>
        </w:rPr>
      </w:pPr>
      <w:r w:rsidRPr="009348FF">
        <w:rPr>
          <w:rFonts w:ascii="Cambria" w:eastAsia="Cambria" w:hAnsi="Cambria" w:cs="Cambria"/>
          <w:i/>
          <w:vertAlign w:val="superscript"/>
          <w:lang w:val="en-ID"/>
        </w:rPr>
        <w:t>1</w:t>
      </w:r>
      <w:r w:rsidRPr="009348FF">
        <w:rPr>
          <w:rFonts w:ascii="Cambria" w:eastAsia="Cambria" w:hAnsi="Cambria" w:cs="Cambria"/>
          <w:i/>
          <w:lang w:val="en-ID"/>
        </w:rPr>
        <w:t xml:space="preserve">Email: </w:t>
      </w:r>
      <w:hyperlink r:id="rId13" w:history="1">
        <w:r w:rsidR="00B76C58" w:rsidRPr="002B348A">
          <w:rPr>
            <w:rStyle w:val="Hyperlink"/>
            <w:rFonts w:ascii="Cambria" w:eastAsia="Cambria" w:hAnsi="Cambria" w:cs="Cambria"/>
            <w:i/>
          </w:rPr>
          <w:t>husnul.haq@uinsatu.ac.id</w:t>
        </w:r>
      </w:hyperlink>
      <w:r w:rsidR="00B76C58">
        <w:rPr>
          <w:rFonts w:ascii="Cambria" w:eastAsia="Cambria" w:hAnsi="Cambria" w:cs="Cambria"/>
          <w:i/>
        </w:rPr>
        <w:t xml:space="preserve"> </w:t>
      </w:r>
      <w:r w:rsidRPr="009348FF">
        <w:rPr>
          <w:rFonts w:ascii="Cambria" w:hAnsi="Cambria"/>
        </w:rPr>
        <w:t xml:space="preserve"> </w:t>
      </w:r>
      <w:r w:rsidRPr="009348FF">
        <w:rPr>
          <w:rFonts w:ascii="Cambria" w:eastAsia="Cambria" w:hAnsi="Cambria" w:cs="Cambria"/>
          <w:i/>
          <w:lang w:val="en-ID"/>
        </w:rPr>
        <w:t xml:space="preserve"> </w:t>
      </w:r>
    </w:p>
    <w:p w14:paraId="1402CCBD" w14:textId="46CA3F40" w:rsidR="009348FF" w:rsidRPr="009348FF" w:rsidRDefault="009348FF" w:rsidP="009348FF">
      <w:pPr>
        <w:spacing w:line="240" w:lineRule="auto"/>
        <w:jc w:val="center"/>
        <w:rPr>
          <w:rFonts w:ascii="Cambria" w:eastAsia="Cambria" w:hAnsi="Cambria" w:cs="Cambria"/>
          <w:i/>
          <w:lang w:val="en-ID"/>
        </w:rPr>
      </w:pPr>
      <w:r w:rsidRPr="009348FF">
        <w:rPr>
          <w:rFonts w:ascii="Cambria" w:eastAsia="Cambria" w:hAnsi="Cambria" w:cs="Cambria"/>
          <w:i/>
          <w:vertAlign w:val="superscript"/>
          <w:lang w:val="en-ID"/>
        </w:rPr>
        <w:t>2</w:t>
      </w:r>
      <w:r w:rsidRPr="009348FF">
        <w:rPr>
          <w:rFonts w:ascii="Cambria" w:eastAsia="Cambria" w:hAnsi="Cambria" w:cs="Cambria"/>
          <w:i/>
          <w:lang w:val="en-ID"/>
        </w:rPr>
        <w:t xml:space="preserve">Email: </w:t>
      </w:r>
      <w:hyperlink r:id="rId14" w:history="1">
        <w:r w:rsidR="00B76C58" w:rsidRPr="002B348A">
          <w:rPr>
            <w:rStyle w:val="Hyperlink"/>
            <w:rFonts w:ascii="Cambria" w:eastAsia="Cambria" w:hAnsi="Cambria" w:cs="Cambria"/>
            <w:i/>
          </w:rPr>
          <w:t>septiwulansari@uinsatu.ac.id</w:t>
        </w:r>
      </w:hyperlink>
      <w:r w:rsidR="00B76C58">
        <w:rPr>
          <w:rFonts w:ascii="Cambria" w:eastAsia="Cambria" w:hAnsi="Cambria" w:cs="Cambria"/>
          <w:i/>
        </w:rPr>
        <w:t xml:space="preserve"> </w:t>
      </w:r>
      <w:r w:rsidRPr="009348FF">
        <w:rPr>
          <w:rFonts w:ascii="Cambria" w:hAnsi="Cambria"/>
        </w:rPr>
        <w:t xml:space="preserve"> </w:t>
      </w:r>
    </w:p>
    <w:p w14:paraId="3F3EBB10" w14:textId="77777777" w:rsidR="00363F1F" w:rsidRPr="009348FF" w:rsidRDefault="00363F1F" w:rsidP="00363F1F">
      <w:pPr>
        <w:spacing w:line="240" w:lineRule="auto"/>
        <w:jc w:val="center"/>
        <w:rPr>
          <w:rFonts w:ascii="Cambria" w:hAnsi="Cambria"/>
          <w:i/>
          <w:iCs/>
          <w:lang w:val="pt-BR"/>
        </w:rPr>
      </w:pPr>
    </w:p>
    <w:tbl>
      <w:tblPr>
        <w:tblW w:w="8505"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694"/>
        <w:gridCol w:w="2924"/>
        <w:gridCol w:w="2887"/>
      </w:tblGrid>
      <w:tr w:rsidR="00DD1566" w:rsidRPr="007F2884" w14:paraId="7859C007" w14:textId="77777777" w:rsidTr="00BB761B">
        <w:trPr>
          <w:trHeight w:val="249"/>
        </w:trPr>
        <w:tc>
          <w:tcPr>
            <w:tcW w:w="8505" w:type="dxa"/>
            <w:gridSpan w:val="3"/>
            <w:tcBorders>
              <w:top w:val="single" w:sz="4" w:space="0" w:color="auto"/>
              <w:left w:val="nil"/>
              <w:bottom w:val="single" w:sz="4" w:space="0" w:color="auto"/>
              <w:right w:val="nil"/>
            </w:tcBorders>
            <w:hideMark/>
          </w:tcPr>
          <w:p w14:paraId="18405DC3" w14:textId="44392AA6" w:rsidR="00DD1566" w:rsidRPr="007F2884" w:rsidRDefault="00DD1566" w:rsidP="00BB761B">
            <w:pPr>
              <w:spacing w:line="240" w:lineRule="auto"/>
              <w:rPr>
                <w:rFonts w:ascii="Cambria" w:hAnsi="Cambria"/>
                <w:sz w:val="20"/>
                <w:szCs w:val="20"/>
                <w:lang w:val="pt-BR"/>
              </w:rPr>
            </w:pPr>
            <w:r w:rsidRPr="007F2884">
              <w:rPr>
                <w:rFonts w:ascii="Cambria" w:hAnsi="Cambria"/>
                <w:sz w:val="20"/>
                <w:szCs w:val="20"/>
                <w:lang w:val="pt-BR"/>
              </w:rPr>
              <w:t>DOI</w:t>
            </w:r>
            <w:r w:rsidR="00C670A0" w:rsidRPr="007F2884">
              <w:rPr>
                <w:rFonts w:ascii="Cambria" w:hAnsi="Cambria"/>
                <w:sz w:val="20"/>
                <w:szCs w:val="20"/>
                <w:lang w:val="pt-BR"/>
              </w:rPr>
              <w:t xml:space="preserve">: </w:t>
            </w:r>
            <w:hyperlink r:id="rId15" w:history="1">
              <w:r w:rsidR="00303024" w:rsidRPr="002B348A">
                <w:rPr>
                  <w:rStyle w:val="Hyperlink"/>
                  <w:rFonts w:ascii="Cambria" w:hAnsi="Cambria"/>
                  <w:sz w:val="20"/>
                  <w:szCs w:val="20"/>
                  <w:lang w:val="pt-BR"/>
                </w:rPr>
                <w:t>https://doi.org/10.21154/antologihukum.v6i1.5768</w:t>
              </w:r>
            </w:hyperlink>
            <w:r w:rsidR="00303024">
              <w:rPr>
                <w:rFonts w:ascii="Cambria" w:hAnsi="Cambria"/>
                <w:sz w:val="20"/>
                <w:szCs w:val="20"/>
                <w:lang w:val="pt-BR"/>
              </w:rPr>
              <w:t xml:space="preserve"> </w:t>
            </w:r>
          </w:p>
        </w:tc>
      </w:tr>
      <w:tr w:rsidR="00BA067B" w:rsidRPr="006B7996" w14:paraId="0643A47D" w14:textId="77777777" w:rsidTr="00BB761B">
        <w:trPr>
          <w:trHeight w:val="249"/>
        </w:trPr>
        <w:tc>
          <w:tcPr>
            <w:tcW w:w="2694" w:type="dxa"/>
            <w:tcBorders>
              <w:top w:val="single" w:sz="4" w:space="0" w:color="auto"/>
              <w:left w:val="nil"/>
              <w:bottom w:val="single" w:sz="4" w:space="0" w:color="auto"/>
              <w:right w:val="single" w:sz="4" w:space="0" w:color="auto"/>
            </w:tcBorders>
            <w:hideMark/>
          </w:tcPr>
          <w:p w14:paraId="2628C39B" w14:textId="42814EE2" w:rsidR="00BA067B" w:rsidRPr="007F2884" w:rsidRDefault="00BA067B" w:rsidP="00BA067B">
            <w:pPr>
              <w:spacing w:line="240" w:lineRule="auto"/>
              <w:jc w:val="center"/>
              <w:rPr>
                <w:rFonts w:ascii="Cambria" w:hAnsi="Cambria"/>
                <w:sz w:val="20"/>
                <w:szCs w:val="20"/>
              </w:rPr>
            </w:pPr>
            <w:r w:rsidRPr="007F2884">
              <w:rPr>
                <w:rFonts w:ascii="Cambria" w:hAnsi="Cambria"/>
                <w:sz w:val="20"/>
                <w:szCs w:val="20"/>
                <w:lang w:val="id-ID" w:eastAsia="id-ID"/>
              </w:rPr>
              <w:t xml:space="preserve">Received: </w:t>
            </w:r>
            <w:r w:rsidR="007F2884" w:rsidRPr="007F2884">
              <w:rPr>
                <w:rFonts w:ascii="Cambria" w:hAnsi="Cambria"/>
                <w:sz w:val="20"/>
                <w:szCs w:val="20"/>
                <w:lang w:val="id-ID" w:eastAsia="id-ID"/>
              </w:rPr>
              <w:t>April</w:t>
            </w:r>
            <w:r w:rsidRPr="007F2884">
              <w:rPr>
                <w:rFonts w:ascii="Cambria" w:hAnsi="Cambria"/>
                <w:sz w:val="20"/>
                <w:szCs w:val="20"/>
                <w:lang w:val="id-ID" w:eastAsia="id-ID"/>
              </w:rPr>
              <w:t xml:space="preserve"> </w:t>
            </w:r>
            <w:r w:rsidR="007F2884" w:rsidRPr="007F2884">
              <w:rPr>
                <w:rFonts w:ascii="Cambria" w:hAnsi="Cambria"/>
                <w:sz w:val="20"/>
                <w:szCs w:val="20"/>
                <w:lang w:val="id-ID" w:eastAsia="id-ID"/>
              </w:rPr>
              <w:t>9</w:t>
            </w:r>
            <w:r w:rsidRPr="007F2884">
              <w:rPr>
                <w:rFonts w:ascii="Cambria" w:hAnsi="Cambria"/>
                <w:sz w:val="20"/>
                <w:szCs w:val="20"/>
                <w:lang w:val="id-ID" w:eastAsia="id-ID"/>
              </w:rPr>
              <w:t>, 202</w:t>
            </w:r>
            <w:r w:rsidR="006B4E5C" w:rsidRPr="007F2884">
              <w:rPr>
                <w:rFonts w:ascii="Cambria" w:hAnsi="Cambria"/>
                <w:sz w:val="20"/>
                <w:szCs w:val="20"/>
                <w:lang w:val="id-ID" w:eastAsia="id-ID"/>
              </w:rPr>
              <w:t>6</w:t>
            </w:r>
          </w:p>
        </w:tc>
        <w:tc>
          <w:tcPr>
            <w:tcW w:w="2924" w:type="dxa"/>
            <w:tcBorders>
              <w:top w:val="single" w:sz="4" w:space="0" w:color="auto"/>
              <w:left w:val="single" w:sz="4" w:space="0" w:color="auto"/>
              <w:bottom w:val="single" w:sz="4" w:space="0" w:color="auto"/>
              <w:right w:val="single" w:sz="4" w:space="0" w:color="auto"/>
            </w:tcBorders>
            <w:hideMark/>
          </w:tcPr>
          <w:p w14:paraId="04E4DCEA" w14:textId="7478C227" w:rsidR="00BA067B" w:rsidRPr="007F2884" w:rsidRDefault="00BA067B" w:rsidP="00BA067B">
            <w:pPr>
              <w:spacing w:line="240" w:lineRule="auto"/>
              <w:jc w:val="center"/>
              <w:rPr>
                <w:rFonts w:ascii="Cambria" w:hAnsi="Cambria"/>
                <w:sz w:val="20"/>
                <w:szCs w:val="20"/>
              </w:rPr>
            </w:pPr>
            <w:r w:rsidRPr="007F2884">
              <w:rPr>
                <w:rFonts w:ascii="Cambria" w:hAnsi="Cambria"/>
                <w:sz w:val="20"/>
                <w:szCs w:val="20"/>
                <w:lang w:val="id-ID" w:eastAsia="id-ID"/>
              </w:rPr>
              <w:t xml:space="preserve">Revised: </w:t>
            </w:r>
            <w:r w:rsidR="007F2884" w:rsidRPr="007F2884">
              <w:rPr>
                <w:rFonts w:ascii="Cambria" w:hAnsi="Cambria"/>
                <w:sz w:val="20"/>
                <w:szCs w:val="20"/>
                <w:lang w:val="id-ID" w:eastAsia="id-ID"/>
              </w:rPr>
              <w:t>May</w:t>
            </w:r>
            <w:r w:rsidRPr="007F2884">
              <w:rPr>
                <w:rFonts w:ascii="Cambria" w:hAnsi="Cambria"/>
                <w:sz w:val="20"/>
                <w:szCs w:val="20"/>
                <w:lang w:val="id-ID" w:eastAsia="id-ID"/>
              </w:rPr>
              <w:t xml:space="preserve"> </w:t>
            </w:r>
            <w:r w:rsidR="007F2884" w:rsidRPr="007F2884">
              <w:rPr>
                <w:rFonts w:ascii="Cambria" w:hAnsi="Cambria"/>
                <w:sz w:val="20"/>
                <w:szCs w:val="20"/>
                <w:lang w:val="id-ID" w:eastAsia="id-ID"/>
              </w:rPr>
              <w:t>14</w:t>
            </w:r>
            <w:r w:rsidRPr="007F2884">
              <w:rPr>
                <w:rFonts w:ascii="Cambria" w:hAnsi="Cambria"/>
                <w:sz w:val="20"/>
                <w:szCs w:val="20"/>
                <w:lang w:val="id-ID" w:eastAsia="id-ID"/>
              </w:rPr>
              <w:t>, 202</w:t>
            </w:r>
            <w:r w:rsidR="006B4E5C" w:rsidRPr="007F2884">
              <w:rPr>
                <w:rFonts w:ascii="Cambria" w:hAnsi="Cambria"/>
                <w:sz w:val="20"/>
                <w:szCs w:val="20"/>
                <w:lang w:val="id-ID" w:eastAsia="id-ID"/>
              </w:rPr>
              <w:t>6</w:t>
            </w:r>
          </w:p>
        </w:tc>
        <w:tc>
          <w:tcPr>
            <w:tcW w:w="2887" w:type="dxa"/>
            <w:tcBorders>
              <w:top w:val="single" w:sz="4" w:space="0" w:color="auto"/>
              <w:left w:val="single" w:sz="4" w:space="0" w:color="auto"/>
              <w:bottom w:val="single" w:sz="4" w:space="0" w:color="auto"/>
              <w:right w:val="nil"/>
            </w:tcBorders>
            <w:hideMark/>
          </w:tcPr>
          <w:p w14:paraId="5AFBBB0C" w14:textId="50FBCB4A" w:rsidR="00BA067B" w:rsidRPr="006B7996" w:rsidRDefault="00BA067B" w:rsidP="00BA067B">
            <w:pPr>
              <w:spacing w:line="240" w:lineRule="auto"/>
              <w:jc w:val="center"/>
              <w:rPr>
                <w:rFonts w:ascii="Cambria" w:hAnsi="Cambria"/>
                <w:sz w:val="20"/>
                <w:szCs w:val="20"/>
              </w:rPr>
            </w:pPr>
            <w:r w:rsidRPr="007F2884">
              <w:rPr>
                <w:rFonts w:ascii="Cambria" w:hAnsi="Cambria"/>
                <w:sz w:val="20"/>
                <w:szCs w:val="20"/>
                <w:lang w:val="id-ID" w:eastAsia="id-ID"/>
              </w:rPr>
              <w:t>Approved:</w:t>
            </w:r>
            <w:r w:rsidR="006B4E5C" w:rsidRPr="007F2884">
              <w:rPr>
                <w:rFonts w:ascii="Cambria" w:hAnsi="Cambria"/>
                <w:sz w:val="20"/>
                <w:szCs w:val="20"/>
                <w:lang w:val="id-ID" w:eastAsia="id-ID"/>
              </w:rPr>
              <w:t xml:space="preserve"> May</w:t>
            </w:r>
            <w:r w:rsidRPr="007F2884">
              <w:rPr>
                <w:rFonts w:ascii="Cambria" w:hAnsi="Cambria"/>
                <w:sz w:val="20"/>
                <w:szCs w:val="20"/>
                <w:lang w:val="id-ID" w:eastAsia="id-ID"/>
              </w:rPr>
              <w:t xml:space="preserve"> </w:t>
            </w:r>
            <w:r w:rsidR="006B4E5C" w:rsidRPr="007F2884">
              <w:rPr>
                <w:rFonts w:ascii="Cambria" w:hAnsi="Cambria"/>
                <w:sz w:val="20"/>
                <w:szCs w:val="20"/>
                <w:lang w:val="id-ID" w:eastAsia="id-ID"/>
              </w:rPr>
              <w:t>1</w:t>
            </w:r>
            <w:r w:rsidR="00DA2F64" w:rsidRPr="007F2884">
              <w:rPr>
                <w:rFonts w:ascii="Cambria" w:hAnsi="Cambria"/>
                <w:sz w:val="20"/>
                <w:szCs w:val="20"/>
                <w:lang w:val="id-ID" w:eastAsia="id-ID"/>
              </w:rPr>
              <w:t>7</w:t>
            </w:r>
            <w:r w:rsidRPr="007F2884">
              <w:rPr>
                <w:rFonts w:ascii="Cambria" w:hAnsi="Cambria"/>
                <w:sz w:val="20"/>
                <w:szCs w:val="20"/>
                <w:lang w:val="id-ID" w:eastAsia="id-ID"/>
              </w:rPr>
              <w:t>, 202</w:t>
            </w:r>
            <w:r w:rsidR="006B4E5C" w:rsidRPr="007F2884">
              <w:rPr>
                <w:rFonts w:ascii="Cambria" w:hAnsi="Cambria"/>
                <w:sz w:val="20"/>
                <w:szCs w:val="20"/>
                <w:lang w:val="id-ID" w:eastAsia="id-ID"/>
              </w:rPr>
              <w:t>6</w:t>
            </w:r>
          </w:p>
        </w:tc>
      </w:tr>
    </w:tbl>
    <w:p w14:paraId="0396D5B2" w14:textId="77777777" w:rsidR="00363F1F" w:rsidRPr="00BD02A7" w:rsidRDefault="00363F1F" w:rsidP="00363F1F">
      <w:pPr>
        <w:spacing w:line="240" w:lineRule="auto"/>
        <w:jc w:val="center"/>
        <w:rPr>
          <w:rFonts w:ascii="Cambria" w:hAnsi="Cambria"/>
          <w:lang w:val="id-ID"/>
        </w:rPr>
      </w:pPr>
    </w:p>
    <w:p w14:paraId="4C90BC92" w14:textId="78540966" w:rsidR="00363F1F" w:rsidRPr="00BD02A7" w:rsidRDefault="00363F1F" w:rsidP="00666799">
      <w:pPr>
        <w:spacing w:line="240" w:lineRule="auto"/>
        <w:ind w:firstLine="567"/>
        <w:rPr>
          <w:rFonts w:ascii="Cambria" w:hAnsi="Cambria"/>
          <w:i/>
          <w:iCs/>
        </w:rPr>
      </w:pPr>
      <w:r w:rsidRPr="00BD02A7">
        <w:rPr>
          <w:rFonts w:ascii="Cambria" w:hAnsi="Cambria"/>
          <w:b/>
          <w:i/>
          <w:iCs/>
          <w:lang w:val="id-ID"/>
        </w:rPr>
        <w:t xml:space="preserve">Abstract: </w:t>
      </w:r>
      <w:r w:rsidR="00B76C58" w:rsidRPr="004D3474">
        <w:rPr>
          <w:rFonts w:ascii="Cambria" w:eastAsia="Cambria" w:hAnsi="Cambria" w:cs="Cambria"/>
          <w:i/>
        </w:rPr>
        <w:t xml:space="preserve">This study aims to reflect on the relationship between fiqh of civilization and gender equality in the implementation of halaqah fiqh of civilization in East Java Islamic boarding schools. This is because all this time, Islamic boarding schools are identical with classical studies that discredit the position of women in fiqh literature. Meanwhile, the idea of fiqh of civilization is an effort to reorient inclusive fiqh. Therefore, the correlation and relationship between fiqh of civilization and gender equality in the pesantren world needs attention through a gender equality-based fiqh of civilization halaqah. As an effort to obtain in-depth data and analysis, this study uses qualitative research through primary and secondary data on the implementation of halaqah fiqh of civilization in several East Java pesantren. Data collection methods included in-depth interviews, participatory observation, and documentation of the “Halaqah Fiqih Peradaban” sessions, the course materials for these sessions, and the views of Islamic boarding school leaders, teachers, and students regarding gender equality issues. The data that has been found is then analyzed using content analysis to provide an in-depth study of the role of East Java pesantren in responding to gender equality issues through halaqah fiqh of civilization. This study found that the response of Islamic boarding schools in East Java to gender equality issues is evidenced by the development of gender equality awareness within the boarding school environment. Furthermore, the practice of gender-equality-based fiqh circles in East Java’s Islamic boarding schools demonstrates the integration of gender equality principles into the reality of boarding school education. Meanwhile, the implications of implementing gender-equality-based civilization fiqh halaqah in East Java pesantren are significant in shaping </w:t>
      </w:r>
      <w:r w:rsidR="00B76C58" w:rsidRPr="004D3474">
        <w:rPr>
          <w:rFonts w:ascii="Cambria" w:eastAsia="Cambria" w:hAnsi="Cambria" w:cs="Cambria"/>
          <w:i/>
          <w:iCs/>
        </w:rPr>
        <w:t>ijtihad</w:t>
      </w:r>
      <w:r w:rsidR="00B76C58" w:rsidRPr="004D3474">
        <w:rPr>
          <w:rFonts w:ascii="Cambria" w:eastAsia="Cambria" w:hAnsi="Cambria" w:cs="Cambria"/>
          <w:i/>
        </w:rPr>
        <w:t xml:space="preserve"> among santri with gender-equality values.</w:t>
      </w:r>
    </w:p>
    <w:p w14:paraId="04956034" w14:textId="77777777" w:rsidR="00B76C58" w:rsidRPr="00B76C58" w:rsidRDefault="00363F1F" w:rsidP="00B76C58">
      <w:pPr>
        <w:spacing w:line="240" w:lineRule="auto"/>
        <w:ind w:firstLine="567"/>
        <w:rPr>
          <w:rFonts w:ascii="Cambria" w:hAnsi="Cambria"/>
          <w:i/>
          <w:iCs/>
        </w:rPr>
      </w:pPr>
      <w:r w:rsidRPr="00BD02A7">
        <w:rPr>
          <w:rFonts w:ascii="Cambria" w:hAnsi="Cambria"/>
          <w:b/>
          <w:i/>
          <w:iCs/>
          <w:lang w:val="id-ID"/>
        </w:rPr>
        <w:t>Keyword</w:t>
      </w:r>
      <w:r w:rsidRPr="00BD02A7">
        <w:rPr>
          <w:rStyle w:val="CommentReference"/>
          <w:rFonts w:ascii="Cambria" w:hAnsi="Cambria"/>
          <w:b/>
          <w:i/>
          <w:iCs/>
          <w:sz w:val="24"/>
        </w:rPr>
        <w:t>:</w:t>
      </w:r>
      <w:r w:rsidRPr="00BD02A7">
        <w:rPr>
          <w:rFonts w:ascii="Cambria" w:hAnsi="Cambria" w:cs="Times New Roman"/>
          <w:i/>
          <w:iCs/>
        </w:rPr>
        <w:t xml:space="preserve"> </w:t>
      </w:r>
      <w:r w:rsidR="00B76C58" w:rsidRPr="00B76C58">
        <w:rPr>
          <w:rFonts w:ascii="Cambria" w:hAnsi="Cambria"/>
          <w:i/>
          <w:iCs/>
        </w:rPr>
        <w:t>Fiqh of Civilization, Gender Equality, Islamic Boarding School</w:t>
      </w:r>
    </w:p>
    <w:p w14:paraId="59288ACF" w14:textId="77777777" w:rsidR="00363F1F" w:rsidRPr="00BD02A7" w:rsidRDefault="00363F1F" w:rsidP="00363F1F">
      <w:pPr>
        <w:spacing w:line="240" w:lineRule="auto"/>
        <w:ind w:firstLine="720"/>
        <w:rPr>
          <w:rFonts w:ascii="Cambria" w:hAnsi="Cambria" w:cs="Times New Roman"/>
          <w:i/>
          <w:iCs/>
        </w:rPr>
      </w:pPr>
    </w:p>
    <w:p w14:paraId="75C7326B" w14:textId="61A7CEFF" w:rsidR="00363F1F" w:rsidRPr="00BD02A7" w:rsidRDefault="00363F1F" w:rsidP="00666799">
      <w:pPr>
        <w:spacing w:line="240" w:lineRule="auto"/>
        <w:ind w:firstLine="567"/>
        <w:rPr>
          <w:rFonts w:ascii="Cambria" w:hAnsi="Cambria" w:cs="Times New Roman"/>
        </w:rPr>
      </w:pPr>
      <w:r w:rsidRPr="00BD02A7">
        <w:rPr>
          <w:rFonts w:ascii="Cambria" w:hAnsi="Cambria" w:cs="Times New Roman"/>
          <w:b/>
          <w:bCs/>
          <w:lang w:val="id-ID"/>
        </w:rPr>
        <w:t>Abstrak:</w:t>
      </w:r>
      <w:r w:rsidRPr="00BD02A7">
        <w:rPr>
          <w:rFonts w:ascii="Cambria" w:hAnsi="Cambria" w:cs="Times New Roman"/>
          <w:b/>
          <w:bCs/>
          <w:i/>
          <w:iCs/>
          <w:lang w:val="id-ID"/>
        </w:rPr>
        <w:t xml:space="preserve"> </w:t>
      </w:r>
      <w:r w:rsidR="00BF7689" w:rsidRPr="00961848">
        <w:rPr>
          <w:rFonts w:ascii="Cambria" w:eastAsia="Cambria" w:hAnsi="Cambria" w:cs="Cambria"/>
          <w:lang w:val="sv-SE"/>
        </w:rPr>
        <w:t xml:space="preserve">Stabilitas </w:t>
      </w:r>
      <w:r w:rsidR="00B76C58" w:rsidRPr="004D3474">
        <w:rPr>
          <w:rFonts w:ascii="Cambria" w:eastAsia="Cambria" w:hAnsi="Cambria" w:cs="Cambria"/>
        </w:rPr>
        <w:t xml:space="preserve">ini bertujuan untuk melakukan refleksi hubungan fikih peradaban dan kesetaraan gender dalam pelaksanaan halaqah fikih peradaban di pondok pesantren Jawa Timur. Hal ini dikarenakan selama ini pondok pesantren identik dengan kajian-kajian klasik yang mendeskreditkan posisi perempuan dalam literatur fikih. Sementara itu, gagasan fikih peradaban merupakan upaya reorientasi fikih inklusif. Oleh karenanya, korelasi dan hubungan antara fikih peradaban dan kesetaraan gender di dunia pesantren perlu mendapatkan perhatian melalui halaqah fikih peradaban berbasis kesetaraan gender. Sebagai upaya memperoleh </w:t>
      </w:r>
      <w:r w:rsidR="00B76C58" w:rsidRPr="004D3474">
        <w:rPr>
          <w:rFonts w:ascii="Cambria" w:eastAsia="Cambria" w:hAnsi="Cambria" w:cs="Cambria"/>
        </w:rPr>
        <w:lastRenderedPageBreak/>
        <w:t xml:space="preserve">data dan analisa mendalam, kajian ini menggunakan penelitian kualitatif melalui data primer dan sekunder tentang pelaksanaan halaqah fikih peradaban di beberapa pesantren Jawa Timur. Teknik pengumpulan data dilakukan melalui wawancara mendalam, observasi partisipatif, dan dokumentasi terhadap kegiatan halaqah fikih peradaban, panduan materi halaq fikih peradaban, serta pandangan pengasuh pondok pesantren dan dewan guru serta santri berkaitan dengan isu kesetaraan gender. Data yang telah ditemukan kemudian dianalisa menggunakan content analysis untuk memberikan kajian yang mendalam terhadap peran pesantren Jawa Timur dalam merespon isu kesetaraan gender melalui halaqah fikih peradaban. Kajian ini menemukan bahwa respon pondok pesantren Jawa Timur terhadap isu kesetaraan gender dibuktikan melalui pwmbangunan kesadaran kesetaraan gender dalam lingkungan pesantren. Selain itu, relasi halaqah fikih peradaban berbasis kesetaraan gender di pondok pesantren Jawa Timur menunjukkan adanya integrasi prinsip kesetaraan gender dalam realitas pendidikan pesantren. Sementara itu, implikasi pelaksanaan halaqah fikih peradaban berbasis kesetaraan gender di pesantren Jawa Timur memiliki signifikansi dalam membentuk </w:t>
      </w:r>
      <w:r w:rsidR="00B76C58" w:rsidRPr="004D3474">
        <w:rPr>
          <w:rFonts w:ascii="Cambria" w:eastAsia="Cambria" w:hAnsi="Cambria" w:cs="Cambria"/>
          <w:i/>
          <w:iCs/>
        </w:rPr>
        <w:t>ijtihad</w:t>
      </w:r>
      <w:r w:rsidR="00B76C58" w:rsidRPr="004D3474">
        <w:rPr>
          <w:rFonts w:ascii="Cambria" w:eastAsia="Cambria" w:hAnsi="Cambria" w:cs="Cambria"/>
        </w:rPr>
        <w:t xml:space="preserve"> di kalangan santri dengan nilai-nilai kesetaraan gender.</w:t>
      </w:r>
    </w:p>
    <w:p w14:paraId="59B4DA8B" w14:textId="77777777" w:rsidR="00B76C58" w:rsidRPr="00B76C58" w:rsidRDefault="00363F1F" w:rsidP="00B76C58">
      <w:pPr>
        <w:spacing w:line="240" w:lineRule="auto"/>
        <w:ind w:firstLine="567"/>
        <w:rPr>
          <w:rFonts w:ascii="Cambria" w:hAnsi="Cambria"/>
          <w:bCs/>
          <w:iCs/>
        </w:rPr>
      </w:pPr>
      <w:r w:rsidRPr="009348FF">
        <w:rPr>
          <w:rFonts w:ascii="Cambria" w:hAnsi="Cambria" w:cs="Times New Roman"/>
          <w:b/>
          <w:bCs/>
          <w:lang w:val="id-ID"/>
        </w:rPr>
        <w:t>Kata</w:t>
      </w:r>
      <w:r w:rsidRPr="00BD02A7">
        <w:rPr>
          <w:rFonts w:ascii="Cambria" w:hAnsi="Cambria"/>
          <w:b/>
          <w:lang w:val="id-ID"/>
        </w:rPr>
        <w:t xml:space="preserve"> </w:t>
      </w:r>
      <w:r w:rsidRPr="00BD02A7">
        <w:rPr>
          <w:rFonts w:ascii="Cambria" w:hAnsi="Cambria" w:cs="Times New Roman"/>
          <w:b/>
          <w:bCs/>
          <w:lang w:val="id-ID"/>
        </w:rPr>
        <w:t>Kunci</w:t>
      </w:r>
      <w:r w:rsidRPr="00BD02A7">
        <w:rPr>
          <w:rFonts w:ascii="Cambria" w:hAnsi="Cambria"/>
          <w:b/>
          <w:lang w:val="id-ID"/>
        </w:rPr>
        <w:t>:</w:t>
      </w:r>
      <w:r w:rsidRPr="00BD02A7">
        <w:rPr>
          <w:rFonts w:ascii="Cambria" w:hAnsi="Cambria"/>
          <w:bCs/>
          <w:i/>
          <w:iCs/>
          <w:lang w:val="id-ID"/>
        </w:rPr>
        <w:t xml:space="preserve"> </w:t>
      </w:r>
      <w:r w:rsidR="00B76C58" w:rsidRPr="00B76C58">
        <w:rPr>
          <w:rFonts w:ascii="Cambria" w:hAnsi="Cambria"/>
          <w:bCs/>
          <w:iCs/>
        </w:rPr>
        <w:t>Fikih Peradaban, Kesetaraan Gender, Pondok Pesantren</w:t>
      </w:r>
    </w:p>
    <w:p w14:paraId="374F420A" w14:textId="77777777" w:rsidR="00363F1F" w:rsidRPr="00BD02A7" w:rsidRDefault="00363F1F" w:rsidP="00363F1F">
      <w:pPr>
        <w:spacing w:line="240" w:lineRule="auto"/>
        <w:rPr>
          <w:rFonts w:ascii="Cambria" w:hAnsi="Cambria"/>
          <w:b/>
        </w:rPr>
      </w:pPr>
    </w:p>
    <w:p w14:paraId="36CAF9EF" w14:textId="77777777" w:rsidR="00363F1F" w:rsidRPr="00BD02A7" w:rsidRDefault="00363F1F" w:rsidP="00363F1F">
      <w:pPr>
        <w:pStyle w:val="Heading1"/>
        <w:numPr>
          <w:ilvl w:val="0"/>
          <w:numId w:val="0"/>
        </w:numPr>
        <w:ind w:left="357" w:hanging="357"/>
        <w:rPr>
          <w:lang w:val="id-ID"/>
        </w:rPr>
      </w:pPr>
      <w:r w:rsidRPr="00BD02A7">
        <w:rPr>
          <w:lang w:val="id-ID"/>
        </w:rPr>
        <w:t xml:space="preserve">PENDAHULUAN </w:t>
      </w:r>
    </w:p>
    <w:p w14:paraId="707319AD" w14:textId="1132D4A2" w:rsidR="00B76C58" w:rsidRPr="004D3474" w:rsidRDefault="00B76C58" w:rsidP="00B76C58">
      <w:pPr>
        <w:ind w:firstLine="720"/>
        <w:rPr>
          <w:rFonts w:ascii="Cambria" w:hAnsi="Cambria"/>
        </w:rPr>
      </w:pPr>
      <w:r>
        <w:rPr>
          <w:rFonts w:ascii="Cambria" w:hAnsi="Cambria"/>
        </w:rPr>
        <w:t>D</w:t>
      </w:r>
      <w:r w:rsidRPr="004D3474">
        <w:rPr>
          <w:rFonts w:ascii="Cambria" w:hAnsi="Cambria"/>
        </w:rPr>
        <w:t xml:space="preserve">unia </w:t>
      </w:r>
      <w:r w:rsidRPr="00B76C58">
        <w:rPr>
          <w:rFonts w:ascii="Cambria" w:hAnsi="Cambria" w:cstheme="majorBidi"/>
          <w:lang w:val="sv-SE"/>
        </w:rPr>
        <w:t>modern</w:t>
      </w:r>
      <w:r>
        <w:rPr>
          <w:rFonts w:ascii="Cambria" w:hAnsi="Cambria" w:cstheme="majorBidi"/>
          <w:lang w:val="sv-SE"/>
        </w:rPr>
        <w:t xml:space="preserve"> saat ini</w:t>
      </w:r>
      <w:r w:rsidRPr="004D3474">
        <w:rPr>
          <w:rFonts w:ascii="Cambria" w:hAnsi="Cambria"/>
        </w:rPr>
        <w:t>, institusi pesantren</w:t>
      </w:r>
      <w:r w:rsidRPr="004D3474">
        <w:rPr>
          <w:rStyle w:val="FootnoteReference"/>
          <w:rFonts w:ascii="Cambria" w:hAnsi="Cambria"/>
        </w:rPr>
        <w:footnoteReference w:id="1"/>
      </w:r>
      <w:r w:rsidRPr="004D3474">
        <w:rPr>
          <w:rFonts w:ascii="Cambria" w:hAnsi="Cambria"/>
        </w:rPr>
        <w:t xml:space="preserve"> mendapatkan berbagai tantangan untuk menunjukkan eksistensinya di tengah modernisasi lembaga keagamaan.</w:t>
      </w:r>
      <w:r w:rsidRPr="004D3474">
        <w:rPr>
          <w:rStyle w:val="FootnoteReference"/>
          <w:rFonts w:ascii="Cambria" w:hAnsi="Cambria"/>
        </w:rPr>
        <w:footnoteReference w:id="2"/>
      </w:r>
      <w:r w:rsidRPr="004D3474">
        <w:rPr>
          <w:rFonts w:ascii="Cambria" w:hAnsi="Cambria"/>
        </w:rPr>
        <w:t xml:space="preserve"> Pesantren selama ini dalam konteks pengajaran hukum Islam selalu identik dengan aspek </w:t>
      </w:r>
      <w:r w:rsidRPr="004D3474">
        <w:rPr>
          <w:rFonts w:ascii="Cambria" w:hAnsi="Cambria"/>
          <w:i/>
          <w:iCs/>
        </w:rPr>
        <w:t>ijtihad</w:t>
      </w:r>
      <w:r w:rsidRPr="004D3474">
        <w:rPr>
          <w:rFonts w:ascii="Cambria" w:hAnsi="Cambria"/>
        </w:rPr>
        <w:t xml:space="preserve"> konvensional. Salah satu bukti kekakuan pesantren dalam pengkajian teks fikih adalah berkaitan dengan kajian perempuan dan gender.</w:t>
      </w:r>
      <w:r w:rsidRPr="004D3474">
        <w:rPr>
          <w:rStyle w:val="FootnoteReference"/>
          <w:rFonts w:ascii="Cambria" w:hAnsi="Cambria"/>
        </w:rPr>
        <w:footnoteReference w:id="3"/>
      </w:r>
      <w:r w:rsidRPr="004D3474">
        <w:rPr>
          <w:rFonts w:ascii="Cambria" w:hAnsi="Cambria"/>
        </w:rPr>
        <w:t xml:space="preserve"> Jika ditelusuri, kajian-kajian teks bertemakan perempuan di lingkungan pesantren identik dengan kitab-kitab klasik yang memberikan pandangan tentang privatisasi perempuan.</w:t>
      </w:r>
      <w:r w:rsidRPr="004D3474">
        <w:rPr>
          <w:rStyle w:val="FootnoteReference"/>
          <w:rFonts w:ascii="Cambria" w:hAnsi="Cambria"/>
        </w:rPr>
        <w:footnoteReference w:id="4"/>
      </w:r>
      <w:r w:rsidRPr="004D3474">
        <w:rPr>
          <w:rFonts w:ascii="Cambria" w:hAnsi="Cambria"/>
        </w:rPr>
        <w:t xml:space="preserve"> </w:t>
      </w:r>
    </w:p>
    <w:p w14:paraId="0AACE4D5" w14:textId="77777777" w:rsidR="00B76C58" w:rsidRPr="004D3474" w:rsidRDefault="00B76C58" w:rsidP="00B76C58">
      <w:pPr>
        <w:ind w:firstLine="720"/>
        <w:rPr>
          <w:rFonts w:ascii="Cambria" w:hAnsi="Cambria"/>
        </w:rPr>
      </w:pPr>
      <w:r w:rsidRPr="004D3474">
        <w:rPr>
          <w:rFonts w:ascii="Cambria" w:hAnsi="Cambria"/>
        </w:rPr>
        <w:t xml:space="preserve">Melalui </w:t>
      </w:r>
      <w:r w:rsidRPr="00B76C58">
        <w:rPr>
          <w:rFonts w:ascii="Cambria" w:hAnsi="Cambria" w:cstheme="majorBidi"/>
          <w:lang w:val="sv-SE"/>
        </w:rPr>
        <w:t>penjelasan</w:t>
      </w:r>
      <w:r w:rsidRPr="004D3474">
        <w:rPr>
          <w:rFonts w:ascii="Cambria" w:hAnsi="Cambria"/>
        </w:rPr>
        <w:t xml:space="preserve"> di atas, institusi pesantren perlu merespon melalui desain pengkajian hukum Islam (fikih) dan restrukturisasi kajian berbasis kesetaraan gender. Hadirnya peradaban baru dalam pengkajian fikih kemudian direspon oleh Nahdlatul Ulama melalui penyelenggaraan halaqah fikih peradaban.</w:t>
      </w:r>
      <w:r w:rsidRPr="004D3474">
        <w:rPr>
          <w:rStyle w:val="FootnoteReference"/>
          <w:rFonts w:ascii="Cambria" w:hAnsi="Cambria"/>
        </w:rPr>
        <w:footnoteReference w:id="5"/>
      </w:r>
      <w:r>
        <w:rPr>
          <w:rFonts w:ascii="Cambria" w:hAnsi="Cambria"/>
        </w:rPr>
        <w:t xml:space="preserve"> </w:t>
      </w:r>
      <w:r w:rsidRPr="004D3474">
        <w:rPr>
          <w:rFonts w:ascii="Cambria" w:hAnsi="Cambria"/>
        </w:rPr>
        <w:t xml:space="preserve">Urgensi halaqah fikih peradaban berbasis kesetaraan gender dalam rangka merespon </w:t>
      </w:r>
      <w:r w:rsidRPr="004D3474">
        <w:rPr>
          <w:rFonts w:ascii="Cambria" w:hAnsi="Cambria"/>
        </w:rPr>
        <w:lastRenderedPageBreak/>
        <w:t>berbagai stigmatisasi terhadap perempuan oleh institusi agama, yaitu produk hukum (fikih).</w:t>
      </w:r>
      <w:r w:rsidRPr="004D3474">
        <w:rPr>
          <w:rStyle w:val="FootnoteReference"/>
          <w:rFonts w:ascii="Cambria" w:hAnsi="Cambria"/>
        </w:rPr>
        <w:footnoteReference w:id="6"/>
      </w:r>
      <w:r w:rsidRPr="004D3474">
        <w:rPr>
          <w:rFonts w:ascii="Cambria" w:hAnsi="Cambria"/>
        </w:rPr>
        <w:t xml:space="preserve"> Pada aspek teologi, kajian-kajian teks di pesantren menempatkan keyakinan bahwa perempuan harus taat terhadap laki-laki.</w:t>
      </w:r>
      <w:r w:rsidRPr="004D3474">
        <w:rPr>
          <w:rStyle w:val="FootnoteReference"/>
          <w:rFonts w:ascii="Cambria" w:hAnsi="Cambria"/>
        </w:rPr>
        <w:footnoteReference w:id="7"/>
      </w:r>
    </w:p>
    <w:p w14:paraId="25D370E9" w14:textId="77777777" w:rsidR="00B76C58" w:rsidRPr="004D3474" w:rsidRDefault="00B76C58" w:rsidP="00B76C58">
      <w:pPr>
        <w:ind w:firstLine="720"/>
        <w:rPr>
          <w:rFonts w:ascii="Cambria" w:hAnsi="Cambria"/>
        </w:rPr>
      </w:pPr>
      <w:r w:rsidRPr="004D3474">
        <w:rPr>
          <w:rFonts w:ascii="Cambria" w:hAnsi="Cambria"/>
        </w:rPr>
        <w:t xml:space="preserve">Pada </w:t>
      </w:r>
      <w:r w:rsidRPr="00B76C58">
        <w:rPr>
          <w:rFonts w:ascii="Cambria" w:hAnsi="Cambria" w:cstheme="majorBidi"/>
          <w:lang w:val="sv-SE"/>
        </w:rPr>
        <w:t>aspek</w:t>
      </w:r>
      <w:r w:rsidRPr="004D3474">
        <w:rPr>
          <w:rFonts w:ascii="Cambria" w:hAnsi="Cambria"/>
        </w:rPr>
        <w:t xml:space="preserve"> budaya, budaya patriarki terhadap perempuan telah menjelma menjadi warisan yang terus-menerus dilanggangkan di Indonesia.</w:t>
      </w:r>
      <w:r w:rsidRPr="004D3474">
        <w:rPr>
          <w:rStyle w:val="FootnoteReference"/>
          <w:rFonts w:ascii="Cambria" w:hAnsi="Cambria"/>
        </w:rPr>
        <w:footnoteReference w:id="8"/>
      </w:r>
      <w:r w:rsidRPr="004D3474">
        <w:rPr>
          <w:rFonts w:ascii="Cambria" w:hAnsi="Cambria"/>
        </w:rPr>
        <w:t xml:space="preserve"> Dalam beberapa kajian terdahulu, banyak studi yang menyatakan bahwa sulitnya menghilangkan budaya patriarki di Indonesia telah menjadi salah satu sebab terjadinya ketidaksetaraan gender.</w:t>
      </w:r>
      <w:r w:rsidRPr="004D3474">
        <w:rPr>
          <w:rStyle w:val="FootnoteReference"/>
          <w:rFonts w:ascii="Cambria" w:hAnsi="Cambria"/>
        </w:rPr>
        <w:footnoteReference w:id="9"/>
      </w:r>
      <w:r w:rsidRPr="004D3474">
        <w:rPr>
          <w:rFonts w:ascii="Cambria" w:hAnsi="Cambria"/>
        </w:rPr>
        <w:t xml:space="preserve"> Budaya ini yang kemudian menimbulkan problematika seperti kekerasan terhadap perempuan, pengekangan terhadap partisipasi perempuan di bidang sosial, dan labelisasi negatif terhadap perempuan.</w:t>
      </w:r>
      <w:r w:rsidRPr="004D3474">
        <w:rPr>
          <w:rStyle w:val="FootnoteReference"/>
          <w:rFonts w:ascii="Cambria" w:hAnsi="Cambria"/>
        </w:rPr>
        <w:footnoteReference w:id="10"/>
      </w:r>
      <w:r w:rsidRPr="004D3474">
        <w:rPr>
          <w:rFonts w:ascii="Cambria" w:hAnsi="Cambria"/>
        </w:rPr>
        <w:t xml:space="preserve"> Pada aspek politik, pembatasan terhadap akselerasi perempuan di bidang sosial telah menimbulkan persepsi negatif terhadap perempuan yang ikut serta dalam kontestasi politik. Lebih jauh, institusi agama dalam teks klasik juga menjelaskan tentang larangan terhadap per</w:t>
      </w:r>
      <w:r>
        <w:rPr>
          <w:rFonts w:ascii="Cambria" w:hAnsi="Cambria"/>
        </w:rPr>
        <w:t xml:space="preserve">empuan untuk menjadi pemimpin. </w:t>
      </w:r>
      <w:r w:rsidRPr="004D3474">
        <w:rPr>
          <w:rStyle w:val="FootnoteReference"/>
          <w:rFonts w:ascii="Cambria" w:hAnsi="Cambria"/>
        </w:rPr>
        <w:footnoteReference w:id="11"/>
      </w:r>
      <w:r>
        <w:rPr>
          <w:rFonts w:ascii="Cambria" w:hAnsi="Cambria"/>
        </w:rPr>
        <w:t xml:space="preserve"> </w:t>
      </w:r>
      <w:r w:rsidRPr="004D3474">
        <w:rPr>
          <w:rFonts w:ascii="Cambria" w:hAnsi="Cambria"/>
        </w:rPr>
        <w:t xml:space="preserve">Tiga masalah utama terhadap perempuan sebagaimana dijelaskan di atas, telah memantik Nahdlatul Ulama untuk merefleksikan </w:t>
      </w:r>
      <w:r w:rsidRPr="004D3474">
        <w:rPr>
          <w:rFonts w:ascii="Cambria" w:hAnsi="Cambria"/>
          <w:i/>
          <w:iCs/>
        </w:rPr>
        <w:t>ijtihad</w:t>
      </w:r>
      <w:r w:rsidRPr="004D3474">
        <w:rPr>
          <w:rFonts w:ascii="Cambria" w:hAnsi="Cambria"/>
        </w:rPr>
        <w:t xml:space="preserve"> progresif di era kontemporer. Sebagai ciri khas dari Nahdlatul Ulama, institusi pesantren menjadi salah satu ladang untuk mengaktualisasikan model </w:t>
      </w:r>
      <w:r w:rsidRPr="004D3474">
        <w:rPr>
          <w:rFonts w:ascii="Cambria" w:hAnsi="Cambria"/>
          <w:i/>
          <w:iCs/>
        </w:rPr>
        <w:t>ijtihad</w:t>
      </w:r>
      <w:r w:rsidRPr="004D3474">
        <w:rPr>
          <w:rFonts w:ascii="Cambria" w:hAnsi="Cambria"/>
        </w:rPr>
        <w:t xml:space="preserve"> Nahdlatul Ulama di era peradaban baru.</w:t>
      </w:r>
      <w:r w:rsidRPr="004D3474">
        <w:rPr>
          <w:rStyle w:val="FootnoteReference"/>
          <w:rFonts w:ascii="Cambria" w:hAnsi="Cambria"/>
        </w:rPr>
        <w:footnoteReference w:id="12"/>
      </w:r>
    </w:p>
    <w:p w14:paraId="3B9F5098" w14:textId="77777777" w:rsidR="00B76C58" w:rsidRPr="004D3474" w:rsidRDefault="00B76C58" w:rsidP="00B76C58">
      <w:pPr>
        <w:ind w:firstLine="720"/>
        <w:rPr>
          <w:rFonts w:ascii="Cambria" w:hAnsi="Cambria"/>
        </w:rPr>
      </w:pPr>
      <w:r w:rsidRPr="004D3474">
        <w:rPr>
          <w:rFonts w:ascii="Cambria" w:hAnsi="Cambria"/>
        </w:rPr>
        <w:t xml:space="preserve">Provinsi Jawa Timur menjadi salah satu provinsi yang memiliki pesantren dan santri dengan jumlah banyak. Kondisi ini tentu mempengaruhi praktik-praktik keagamaan dan kemasyarakatan di provinsi Jawa Timur. Dalam konteks ini, tentu provinsi Jawa Timur menjadi perhatian tersendiri dalam konteks program-program pesantren </w:t>
      </w:r>
      <w:r w:rsidRPr="00B76C58">
        <w:rPr>
          <w:rFonts w:ascii="Cambria" w:hAnsi="Cambria" w:cstheme="majorBidi"/>
          <w:lang w:val="sv-SE"/>
        </w:rPr>
        <w:t>yang</w:t>
      </w:r>
      <w:r w:rsidRPr="004D3474">
        <w:rPr>
          <w:rFonts w:ascii="Cambria" w:hAnsi="Cambria"/>
        </w:rPr>
        <w:t xml:space="preserve"> merepresentasikan karakter pesantren di wilayah Jawa Timur. Pada praktiknya, pesantren di Jawa Timur memiliki pendekatan pendidikan dengan </w:t>
      </w:r>
      <w:r w:rsidRPr="004D3474">
        <w:rPr>
          <w:rFonts w:ascii="Cambria" w:hAnsi="Cambria"/>
        </w:rPr>
        <w:lastRenderedPageBreak/>
        <w:t>menggabungkan sistem pendidikan agama dan aspek realitas kemasyarakatan. Keberadaan pesantren yang begitu banyak di Jawa Timur juga memberikan kontribusi yang sangat signifikan terhadap pembentukan karakter masyarakat Jawa Timur yang religius dan memiliki etika berdasar nilai fundamental agama. Berdirinya pesantren di Jawa Timur tentu dilatarbelakangi oleh tuntutan masyarakat sekitar.</w:t>
      </w:r>
      <w:r w:rsidRPr="004D3474">
        <w:rPr>
          <w:rStyle w:val="FootnoteReference"/>
          <w:rFonts w:ascii="Cambria" w:hAnsi="Cambria"/>
        </w:rPr>
        <w:footnoteReference w:id="13"/>
      </w:r>
      <w:r w:rsidRPr="004D3474">
        <w:rPr>
          <w:rFonts w:ascii="Cambria" w:hAnsi="Cambria"/>
        </w:rPr>
        <w:t xml:space="preserve"> Dalam tradisi masyarakat Jawa Timur, karakteristik pedesaan menjadi ciri khas kehidupan gotong royong dan saling mengayomi di wilayah Jawa Timur.</w:t>
      </w:r>
      <w:r w:rsidRPr="004D3474">
        <w:rPr>
          <w:rStyle w:val="FootnoteReference"/>
          <w:rFonts w:ascii="Cambria" w:hAnsi="Cambria"/>
        </w:rPr>
        <w:footnoteReference w:id="14"/>
      </w:r>
    </w:p>
    <w:p w14:paraId="69E3A8AA" w14:textId="77777777" w:rsidR="00B76C58" w:rsidRDefault="00B76C58" w:rsidP="00B76C58">
      <w:pPr>
        <w:ind w:firstLine="720"/>
        <w:rPr>
          <w:rFonts w:ascii="Cambria" w:hAnsi="Cambria"/>
        </w:rPr>
      </w:pPr>
      <w:r w:rsidRPr="004D3474">
        <w:rPr>
          <w:rFonts w:ascii="Cambria" w:hAnsi="Cambria"/>
        </w:rPr>
        <w:t xml:space="preserve">Masyarakat Jawa Timur secara teologis masih memposisikan perempuan sebagai </w:t>
      </w:r>
      <w:r w:rsidRPr="00B76C58">
        <w:rPr>
          <w:rFonts w:ascii="Cambria" w:hAnsi="Cambria" w:cstheme="majorBidi"/>
          <w:lang w:val="sv-SE"/>
        </w:rPr>
        <w:t>kelompok</w:t>
      </w:r>
      <w:r w:rsidRPr="004D3474">
        <w:rPr>
          <w:rFonts w:ascii="Cambria" w:hAnsi="Cambria"/>
        </w:rPr>
        <w:t xml:space="preserve"> di bawah laki-laki. Sementara pada aspek budaya, meskipun masih banyak ditemukan berbagai kekerasan terhadap perempuan di wilayah ini,</w:t>
      </w:r>
      <w:r w:rsidRPr="004D3474">
        <w:rPr>
          <w:rStyle w:val="FootnoteReference"/>
          <w:rFonts w:ascii="Cambria" w:hAnsi="Cambria"/>
        </w:rPr>
        <w:footnoteReference w:id="15"/>
      </w:r>
      <w:r w:rsidRPr="004D3474">
        <w:rPr>
          <w:rFonts w:ascii="Cambria" w:hAnsi="Cambria"/>
        </w:rPr>
        <w:t xml:space="preserve"> namun akselerasi perempuan dalam bidang sosial banyak ditemukan sebagaimana pekerja perempuan.</w:t>
      </w:r>
      <w:r w:rsidRPr="004D3474">
        <w:rPr>
          <w:rStyle w:val="FootnoteReference"/>
          <w:rFonts w:ascii="Cambria" w:hAnsi="Cambria"/>
        </w:rPr>
        <w:footnoteReference w:id="16"/>
      </w:r>
      <w:r w:rsidRPr="004D3474">
        <w:rPr>
          <w:rFonts w:ascii="Cambria" w:hAnsi="Cambria"/>
        </w:rPr>
        <w:t xml:space="preserve"> Adanya konstruksi masyarakat Jawa Timur terhadap perempuan sebagaimana dijelaskan di atas, tentu salah satunya adalah diakibatkan oleh otoritas agama dan budaya di tengah masyarakat. Pada aspek otoritas agama, masyarakat Jawa Timur memiliki mayoritas Muslim dan memiliki ketaatan terhadap agama yang kuat. Pada aspek sosial, masyarakat Jawa Timur adalah masyarakat yang juga mempercayai adat istiadat, peninggalan leluhur, dan aspek lain yang berdimensi pada keyakinan masyarakat terhadap budaya nenek moyang.</w:t>
      </w:r>
      <w:r w:rsidRPr="004D3474">
        <w:rPr>
          <w:rStyle w:val="FootnoteReference"/>
          <w:rFonts w:ascii="Cambria" w:hAnsi="Cambria"/>
        </w:rPr>
        <w:footnoteReference w:id="17"/>
      </w:r>
      <w:r>
        <w:rPr>
          <w:rFonts w:ascii="Cambria" w:hAnsi="Cambria"/>
        </w:rPr>
        <w:t xml:space="preserve"> </w:t>
      </w:r>
      <w:r w:rsidRPr="004D3474">
        <w:rPr>
          <w:rFonts w:ascii="Cambria" w:hAnsi="Cambria"/>
        </w:rPr>
        <w:t xml:space="preserve">Dalam hal ini, penyelenggaraan halaqah fikih peradaban di lingkungan pesantren mampu menambah asupan keilmuan di tubuh pesantren. Halaqah fikih peradaban adalah upaya pemikiran yang mengedepankan dialog atas nilai-nilai peradaban yang harus diwujudkan di tengah masyarakat kontemporer. </w:t>
      </w:r>
    </w:p>
    <w:p w14:paraId="5DCA6C9B" w14:textId="77777777" w:rsidR="00B76C58" w:rsidRPr="004D3474" w:rsidRDefault="00B76C58" w:rsidP="00B76C58">
      <w:pPr>
        <w:ind w:firstLine="720"/>
        <w:rPr>
          <w:rFonts w:ascii="Cambria" w:hAnsi="Cambria"/>
        </w:rPr>
      </w:pPr>
      <w:r w:rsidRPr="004D3474">
        <w:rPr>
          <w:rFonts w:ascii="Cambria" w:hAnsi="Cambria"/>
        </w:rPr>
        <w:t>Jauhari dan Towaf melakukan kajian tentang kesetaraan gender di pesantren dalam kajian literatur. Kajian ini menemukan bahwa institusi pesantren berkembang bersamaan dengan perkembangan zaman.</w:t>
      </w:r>
      <w:r w:rsidRPr="004D3474">
        <w:rPr>
          <w:rStyle w:val="FootnoteReference"/>
          <w:rFonts w:ascii="Cambria" w:hAnsi="Cambria"/>
        </w:rPr>
        <w:footnoteReference w:id="18"/>
      </w:r>
      <w:r w:rsidRPr="004D3474">
        <w:rPr>
          <w:rFonts w:ascii="Cambria" w:hAnsi="Cambria"/>
        </w:rPr>
        <w:t xml:space="preserve"> Salim melakukan </w:t>
      </w:r>
      <w:r w:rsidRPr="004D3474">
        <w:rPr>
          <w:rFonts w:ascii="Cambria" w:hAnsi="Cambria"/>
        </w:rPr>
        <w:lastRenderedPageBreak/>
        <w:t>penelitian tentang konstruksi sosial gender di pesantren. Kajian Salim menemukan adanya konstruksi sosial gender di pesantren yang masih sebatas partisipasi dalam kerangka struktur fungsional.</w:t>
      </w:r>
      <w:r w:rsidRPr="004D3474">
        <w:rPr>
          <w:rStyle w:val="FootnoteReference"/>
          <w:rFonts w:ascii="Cambria" w:hAnsi="Cambria"/>
        </w:rPr>
        <w:footnoteReference w:id="19"/>
      </w:r>
      <w:r w:rsidRPr="004D3474">
        <w:rPr>
          <w:rFonts w:ascii="Cambria" w:hAnsi="Cambria"/>
        </w:rPr>
        <w:t xml:space="preserve"> Kurniawati dan Muafiah meneliti tentang kesetaraan dan keadilan gender dalam lingkungan pesantren. Penelitian yang dilakukan di pondok pesantren Darussalam Bangunsari Ponorogo menemukan bahwa </w:t>
      </w:r>
      <w:r w:rsidRPr="00B76C58">
        <w:rPr>
          <w:rFonts w:ascii="Cambria" w:hAnsi="Cambria" w:cstheme="majorBidi"/>
          <w:lang w:val="sv-SE"/>
        </w:rPr>
        <w:t>penerapan</w:t>
      </w:r>
      <w:r w:rsidRPr="004D3474">
        <w:rPr>
          <w:rFonts w:ascii="Cambria" w:hAnsi="Cambria"/>
        </w:rPr>
        <w:t xml:space="preserve"> nilai keadilan dan kesetaraan gender di lingkungan pesantren direalisasikan melalui kegiatan sehari-hari.</w:t>
      </w:r>
      <w:r w:rsidRPr="004D3474">
        <w:rPr>
          <w:rStyle w:val="FootnoteReference"/>
          <w:rFonts w:ascii="Cambria" w:hAnsi="Cambria"/>
        </w:rPr>
        <w:footnoteReference w:id="20"/>
      </w:r>
      <w:r w:rsidRPr="004D3474">
        <w:rPr>
          <w:rFonts w:ascii="Cambria" w:hAnsi="Cambria"/>
        </w:rPr>
        <w:t xml:space="preserve"> Penelitian Malihah tentang pondok pesantren dalam pemberdayaan dan kesetaraan perempuan. Kajian ini menemukan bahwa peran pesantren adalah untuk mengoptimalkan pendidikan berbasis kesetaraan gender dan pemberdayaan perempuan dalam kurikulumnya.</w:t>
      </w:r>
      <w:r w:rsidRPr="004D3474">
        <w:rPr>
          <w:rStyle w:val="FootnoteReference"/>
          <w:rFonts w:ascii="Cambria" w:hAnsi="Cambria"/>
        </w:rPr>
        <w:footnoteReference w:id="21"/>
      </w:r>
    </w:p>
    <w:p w14:paraId="39B550E6" w14:textId="77777777" w:rsidR="00B76C58" w:rsidRDefault="00B76C58" w:rsidP="00B76C58">
      <w:pPr>
        <w:ind w:firstLine="720"/>
        <w:rPr>
          <w:rFonts w:ascii="Cambria" w:hAnsi="Cambria"/>
        </w:rPr>
      </w:pPr>
      <w:r w:rsidRPr="00B76C58">
        <w:rPr>
          <w:rFonts w:ascii="Cambria" w:hAnsi="Cambria" w:cstheme="majorBidi"/>
          <w:lang w:val="sv-SE"/>
        </w:rPr>
        <w:t>Melalui</w:t>
      </w:r>
      <w:r w:rsidRPr="004D3474">
        <w:rPr>
          <w:rFonts w:ascii="Cambria" w:hAnsi="Cambria"/>
        </w:rPr>
        <w:t xml:space="preserve"> kajian yang telah dipaparkan di atas, dapat dipahami bahwa kajian gender di lingkungan pesantren memiliki spesifikasi dalam mewujudkan konsistensi institusi keagamaan. Meskipun demikian, beberapa kajian di pesantren masih merepresentasikan ketidakadilan gender, namun upaya perwujudan kesetaraan gender menjadi salah satu pendekatan dalam metodologi fikih peradaban. Meskipun hanya segelintir kalangan yang memaknai halaqah fikih peradaban bernilai kesetaraan gender, paling tidak esensi dari pendekatan halaqah fikih peradaban bisa diaplikasikan dalam pembentukan institusi pesantren yang ramah gender. Kajian ini hendak menelisik lebih jauh formulasi pendekatan fikih peradaban di pesantren Jawa Timur. </w:t>
      </w:r>
    </w:p>
    <w:p w14:paraId="3D28335F" w14:textId="7BED522E" w:rsidR="00B76C58" w:rsidRDefault="00B76C58" w:rsidP="00B76C58">
      <w:pPr>
        <w:ind w:firstLine="720"/>
        <w:rPr>
          <w:rFonts w:ascii="Cambria" w:hAnsi="Cambria" w:cstheme="majorBidi"/>
          <w:lang w:val="sv-SE"/>
        </w:rPr>
      </w:pPr>
      <w:r w:rsidRPr="004D3474">
        <w:rPr>
          <w:rFonts w:ascii="Cambria" w:hAnsi="Cambria"/>
        </w:rPr>
        <w:t xml:space="preserve">Melalui kajian yang telah dipaparkan sebagaimana di atas, dapat dipahami bahwa kajian gender di lingkungan pondok pesantren memiliki spesifikasi dalam mewujudkan konsistensi institusi keagamaan. Kajian ini hendak menelisik lebih jauh </w:t>
      </w:r>
      <w:r w:rsidRPr="00B76C58">
        <w:rPr>
          <w:rFonts w:ascii="Cambria" w:hAnsi="Cambria" w:cstheme="majorBidi"/>
          <w:lang w:val="sv-SE"/>
        </w:rPr>
        <w:t>formulasi</w:t>
      </w:r>
      <w:r w:rsidRPr="004D3474">
        <w:rPr>
          <w:rFonts w:ascii="Cambria" w:hAnsi="Cambria"/>
        </w:rPr>
        <w:t xml:space="preserve"> pendekatan fikih peradaban di pesantren Jawa Timur melalui penelitian kualitatif dengan melibatkan pengasuh pesantren, dewan guru, dan santri sebagai informan penelitian.</w:t>
      </w:r>
      <w:r w:rsidRPr="004D3474">
        <w:rPr>
          <w:rStyle w:val="FootnoteReference"/>
          <w:rFonts w:ascii="Cambria" w:hAnsi="Cambria"/>
        </w:rPr>
        <w:footnoteReference w:id="22"/>
      </w:r>
      <w:r w:rsidRPr="004D3474">
        <w:rPr>
          <w:rFonts w:ascii="Cambria" w:hAnsi="Cambria"/>
        </w:rPr>
        <w:t xml:space="preserve"> Data penelitian diperoleh dari data primer dan sekunder dengan teknik pengumpulan data berupa wawancara mendalam, observasi partisipatif, serta dokumentasi terhadap pelaksanaan halaqah fikih </w:t>
      </w:r>
      <w:r w:rsidRPr="004D3474">
        <w:rPr>
          <w:rFonts w:ascii="Cambria" w:hAnsi="Cambria"/>
        </w:rPr>
        <w:lastRenderedPageBreak/>
        <w:t>peradaban di beberapa pesantren Jawa Timur.</w:t>
      </w:r>
      <w:r w:rsidRPr="004D3474">
        <w:rPr>
          <w:rStyle w:val="FootnoteReference"/>
          <w:rFonts w:ascii="Cambria" w:hAnsi="Cambria"/>
        </w:rPr>
        <w:footnoteReference w:id="23"/>
      </w:r>
      <w:r w:rsidRPr="004D3474">
        <w:rPr>
          <w:rFonts w:ascii="Cambria" w:hAnsi="Cambria"/>
        </w:rPr>
        <w:t xml:space="preserve"> Data yang terkumpul kemudian dianalisis menggunakan teknik content analysis melalui tahapan reduksi data, kategorisasi tema, interpretasi makna, dan penarikan kesimpulan untuk menemukan pola pemikiran pesantren dalam merespon isu kesetaraan gender.</w:t>
      </w:r>
      <w:r w:rsidRPr="004D3474">
        <w:rPr>
          <w:rStyle w:val="FootnoteReference"/>
          <w:rFonts w:ascii="Cambria" w:hAnsi="Cambria"/>
        </w:rPr>
        <w:footnoteReference w:id="24"/>
      </w:r>
      <w:r w:rsidRPr="004D3474">
        <w:rPr>
          <w:rFonts w:ascii="Cambria" w:hAnsi="Cambria"/>
        </w:rPr>
        <w:t xml:space="preserve"> Melalui hal tersebut, penelitian ini diarahkan untuk menjawab tiga fokus utama, </w:t>
      </w:r>
      <w:r w:rsidRPr="00B76C58">
        <w:rPr>
          <w:rFonts w:ascii="Cambria" w:hAnsi="Cambria" w:cstheme="majorBidi"/>
          <w:lang w:val="sv-SE"/>
        </w:rPr>
        <w:t>yaitu</w:t>
      </w:r>
      <w:r w:rsidRPr="004D3474">
        <w:rPr>
          <w:rFonts w:ascii="Cambria" w:hAnsi="Cambria"/>
        </w:rPr>
        <w:t xml:space="preserve"> respon pondok pesantren di Jawa Timur terhadap isu kesetaraan gender, realisasi halaqah fikih peradaban berbasis kesetaraan gender di lingkungan pesantren, serta implikasi halaqah fikih peradaban dalam mewujudkan kesetaraan gender di era kontemporer.</w:t>
      </w:r>
    </w:p>
    <w:p w14:paraId="37E53D72" w14:textId="73ED8FEA" w:rsidR="00B76C58" w:rsidRDefault="00B76C58" w:rsidP="00B76C58">
      <w:pPr>
        <w:rPr>
          <w:rFonts w:ascii="Cambria" w:hAnsi="Cambria" w:cstheme="majorBidi"/>
          <w:lang w:val="sv-SE"/>
        </w:rPr>
      </w:pPr>
      <w:r w:rsidRPr="004D3474">
        <w:rPr>
          <w:rFonts w:ascii="Cambria" w:hAnsi="Cambria"/>
          <w:b/>
          <w:bCs/>
        </w:rPr>
        <w:t>RESPON PONDOK PESANTREN DI JAWA TIMUR TERHADAP ISU KESETARAAN GENDER</w:t>
      </w:r>
    </w:p>
    <w:p w14:paraId="00172DB9" w14:textId="50BFB763" w:rsidR="00B76C58" w:rsidRPr="004D3474" w:rsidRDefault="00B76C58" w:rsidP="00B76C58">
      <w:pPr>
        <w:ind w:firstLine="720"/>
        <w:rPr>
          <w:rFonts w:ascii="Cambria" w:hAnsi="Cambria"/>
          <w:b/>
          <w:bCs/>
        </w:rPr>
      </w:pPr>
      <w:r>
        <w:rPr>
          <w:rFonts w:ascii="Cambria" w:hAnsi="Cambria"/>
        </w:rPr>
        <w:t>Pada</w:t>
      </w:r>
      <w:r w:rsidRPr="004D3474">
        <w:rPr>
          <w:rFonts w:ascii="Cambria" w:hAnsi="Cambria"/>
        </w:rPr>
        <w:t xml:space="preserve"> konteks kontemporer, isu kesetaraan gender menjadi salah satu tema menarik untuk di respon dalam kaca mata sosial dan agama.</w:t>
      </w:r>
      <w:r w:rsidRPr="004D3474">
        <w:rPr>
          <w:rStyle w:val="FootnoteReference"/>
          <w:rFonts w:ascii="Cambria" w:hAnsi="Cambria"/>
        </w:rPr>
        <w:footnoteReference w:id="25"/>
      </w:r>
      <w:r w:rsidRPr="004D3474">
        <w:rPr>
          <w:rFonts w:ascii="Cambria" w:hAnsi="Cambria"/>
        </w:rPr>
        <w:t xml:space="preserve"> Kenyataan ini dibuktikan dengan adanya perhatian global terhadap isu-isu kesetaraan gender, termasuk juga terjadi di Indonesia. Salah satu yang menjadi sentral pandangan terhadap isu </w:t>
      </w:r>
      <w:r w:rsidRPr="00B76C58">
        <w:rPr>
          <w:rFonts w:ascii="Cambria" w:hAnsi="Cambria" w:cstheme="majorBidi"/>
          <w:lang w:val="sv-SE"/>
        </w:rPr>
        <w:t>kesetaraan</w:t>
      </w:r>
      <w:r w:rsidRPr="004D3474">
        <w:rPr>
          <w:rFonts w:ascii="Cambria" w:hAnsi="Cambria"/>
        </w:rPr>
        <w:t xml:space="preserve"> gender adalah lembaga keagamaan yang selama ini dianggap memiliki representasi pemahaman untuk dijadikan acuan dalam kehidupan kemasyarakatan dan keagamaan.</w:t>
      </w:r>
      <w:r w:rsidRPr="004D3474">
        <w:rPr>
          <w:rStyle w:val="FootnoteReference"/>
          <w:rFonts w:ascii="Cambria" w:hAnsi="Cambria"/>
        </w:rPr>
        <w:footnoteReference w:id="26"/>
      </w:r>
      <w:r w:rsidRPr="004D3474">
        <w:rPr>
          <w:rFonts w:ascii="Cambria" w:hAnsi="Cambria"/>
        </w:rPr>
        <w:t xml:space="preserve"> Salah satu institusi keagamaan dan pendidikan yang dijadikan rujukan dalam setiap pandangannya adalah institusi pesantren. Institusi pesantren selama ini sebagai lembaga pendidikan Islam yang memiliki pengaruh yang sangat kuat dalam membentuk pandangan dan sikap masyarakat terhadap isu-isu lokal maupun global, termasuk dalam hal ini adalah isu kesetaraan gender. Respon institusi pesantren terhadap isu-isu kesetaraan gender diinterpretasikan melalui ajaran Islam dengan latar sosial, budaya, dan adat istiadat masyarakat setempat.</w:t>
      </w:r>
    </w:p>
    <w:p w14:paraId="1441B846" w14:textId="77777777" w:rsidR="00B76C58" w:rsidRPr="004D3474" w:rsidRDefault="00B76C58" w:rsidP="00B76C58">
      <w:pPr>
        <w:ind w:firstLine="720"/>
        <w:rPr>
          <w:rFonts w:ascii="Cambria" w:hAnsi="Cambria"/>
          <w:b/>
          <w:bCs/>
        </w:rPr>
      </w:pPr>
      <w:r w:rsidRPr="004D3474">
        <w:rPr>
          <w:rFonts w:ascii="Cambria" w:hAnsi="Cambria"/>
        </w:rPr>
        <w:t xml:space="preserve">Melalui hasil penelitian di Pondok Pesantren Darunnajah Tulungagung, Pondok Pesantren Al Kamal Blitar, dan Pondok Pesantren Bahrul Ulum Tambakberas </w:t>
      </w:r>
      <w:r w:rsidRPr="00B76C58">
        <w:rPr>
          <w:rFonts w:ascii="Cambria" w:hAnsi="Cambria" w:cstheme="majorBidi"/>
          <w:lang w:val="sv-SE"/>
        </w:rPr>
        <w:t>Jombang</w:t>
      </w:r>
      <w:r w:rsidRPr="004D3474">
        <w:rPr>
          <w:rFonts w:ascii="Cambria" w:hAnsi="Cambria"/>
        </w:rPr>
        <w:t xml:space="preserve">, dapat disimpulkan adanya pandangan progresif terhadap isu kesetaraan gender yang diintegrasikan dalam berbagai kegiatan dan kurikulum </w:t>
      </w:r>
      <w:r w:rsidRPr="004D3474">
        <w:rPr>
          <w:rFonts w:ascii="Cambria" w:hAnsi="Cambria"/>
        </w:rPr>
        <w:lastRenderedPageBreak/>
        <w:t>pondok pesantren. Pandangan progresif ini didasarkan pada tuntutan sosial yang semakin hari begitu sangat kompleks untuk memaksa institusi pesantren melakukan pendekatan baru terhadap isu kesetaraan gender. Progresivitas pesantren memahami adanya pentingnya peran perempuan dalam berbagai aspek kehidupan, baik pada ruang privat maupun publik. Pandangan ini menekankan adanya representasi ajaran Islam untuk mengaktualisasikan aspek kesetaraan dan keadilan dalam sikap dan aktivitas kemanusiaan.</w:t>
      </w:r>
      <w:r w:rsidRPr="004D3474">
        <w:rPr>
          <w:rStyle w:val="FootnoteReference"/>
          <w:rFonts w:ascii="Cambria" w:hAnsi="Cambria"/>
        </w:rPr>
        <w:footnoteReference w:id="27"/>
      </w:r>
    </w:p>
    <w:p w14:paraId="38471366" w14:textId="77777777" w:rsidR="00B76C58" w:rsidRPr="004D3474" w:rsidRDefault="00B76C58" w:rsidP="00B76C58">
      <w:pPr>
        <w:ind w:firstLine="720"/>
        <w:rPr>
          <w:rFonts w:ascii="Cambria" w:hAnsi="Cambria"/>
          <w:b/>
          <w:bCs/>
        </w:rPr>
      </w:pPr>
      <w:r w:rsidRPr="004D3474">
        <w:rPr>
          <w:rFonts w:ascii="Cambria" w:hAnsi="Cambria"/>
        </w:rPr>
        <w:t xml:space="preserve">Pada lokasi penelitian, ditemukan bahwa halaqah fikih peradaban di aplikasikan </w:t>
      </w:r>
      <w:r w:rsidRPr="00B76C58">
        <w:rPr>
          <w:rFonts w:ascii="Cambria" w:hAnsi="Cambria" w:cstheme="majorBidi"/>
          <w:lang w:val="sv-SE"/>
        </w:rPr>
        <w:t>dalam</w:t>
      </w:r>
      <w:r w:rsidRPr="004D3474">
        <w:rPr>
          <w:rFonts w:ascii="Cambria" w:hAnsi="Cambria"/>
        </w:rPr>
        <w:t xml:space="preserve"> perwujudan sistem pendidikan dan kurikulum pesantren. Pada pondok pesantren Bahrul Ulum Jombang misalnya, terapkan kajian-kajian terhadap kitab-kitab yang membahas tentang kesetaraan gender. Sementara di pondok pesantren Al Kamal Blitar dan Pondok Pesantren Darunnajah Tulungagung implementasi halaqah fikih peradaban di aplikasikan dalam pengejawantahan kegiatan ke pesantren berbasis kesetaraan. Melalui refleksi halaqah fikih peradaban di tiga Pesantren ini, dapat dipahami bahwa halaqah fikih peradaban memiliki peran penting dalam perwujudan nilai-nilai kesetaraan gen di lingkungan pesantren.</w:t>
      </w:r>
    </w:p>
    <w:p w14:paraId="19BFF981" w14:textId="77777777" w:rsidR="00B76C58" w:rsidRPr="004D3474" w:rsidRDefault="00B76C58" w:rsidP="00B76C58">
      <w:pPr>
        <w:ind w:firstLine="720"/>
        <w:rPr>
          <w:rFonts w:ascii="Cambria" w:hAnsi="Cambria"/>
          <w:b/>
          <w:bCs/>
        </w:rPr>
      </w:pPr>
      <w:r w:rsidRPr="004D3474">
        <w:rPr>
          <w:rFonts w:ascii="Cambria" w:hAnsi="Cambria"/>
        </w:rPr>
        <w:t xml:space="preserve">Salah satu langkah ini didasarkan pada nilai dasar penyelenggaraan halaqah fikih peradaban yang mengajarkan tentang pentingnya nilai toleransi, kebersamaan, keadilan, dan kesetaraan. Pandangan ini membuat pesantren memiliki pandangan progresif </w:t>
      </w:r>
      <w:r w:rsidRPr="00B76C58">
        <w:rPr>
          <w:rFonts w:ascii="Cambria" w:hAnsi="Cambria" w:cstheme="majorBidi"/>
          <w:lang w:val="sv-SE"/>
        </w:rPr>
        <w:t>terhadap</w:t>
      </w:r>
      <w:r w:rsidRPr="004D3474">
        <w:rPr>
          <w:rFonts w:ascii="Cambria" w:hAnsi="Cambria"/>
        </w:rPr>
        <w:t xml:space="preserve"> isu-isu yang berkembang dengan mengintegrasikan kajian-kajian di lingkungan pesantren, khususnya mengenai berbagai pelatihan maupun restrukturisasi kurikulum pendidikan pesantren dengan kajian yang ramah gender. Melalui langkah ini respon pesantren terhadap isu kesetaraan gender menjadi nilai fundamental dalam mengimplementasikan nilai-nilai dasar perlindungan kemanusiaan dan hak asasi manusia. Dalam konteks kontemporer, respon pesantren terhadap isu kesetaraan gender menjadi salah satu bentuk perombakan kajian fikih tentang perempuan yang selama ini masih terkesan bias gender.</w:t>
      </w:r>
    </w:p>
    <w:p w14:paraId="74D39C22" w14:textId="77777777" w:rsidR="00B76C58" w:rsidRPr="004D3474" w:rsidRDefault="00B76C58" w:rsidP="00B76C58">
      <w:pPr>
        <w:ind w:firstLine="720"/>
        <w:rPr>
          <w:rFonts w:ascii="Cambria" w:hAnsi="Cambria"/>
          <w:b/>
          <w:bCs/>
        </w:rPr>
      </w:pPr>
      <w:r w:rsidRPr="004D3474">
        <w:rPr>
          <w:rFonts w:ascii="Cambria" w:hAnsi="Cambria"/>
        </w:rPr>
        <w:t>Dalam konteks sejarah pendidikan pesantren, kehidupan perempuan di pesantren di Indonesia dalam kaitannya dengan isu gender dan seksualitas begitu sangat kompleks.</w:t>
      </w:r>
      <w:r w:rsidRPr="004D3474">
        <w:rPr>
          <w:rStyle w:val="FootnoteReference"/>
          <w:rFonts w:ascii="Cambria" w:hAnsi="Cambria"/>
        </w:rPr>
        <w:footnoteReference w:id="28"/>
      </w:r>
      <w:r w:rsidRPr="004D3474">
        <w:rPr>
          <w:rFonts w:ascii="Cambria" w:hAnsi="Cambria"/>
        </w:rPr>
        <w:t xml:space="preserve"> Kurikulum dan metode pengajaran yang diadopsi institusi pesantren dari budaya Arab begitu tradisional dan memengaruhi cara berpikir </w:t>
      </w:r>
      <w:r w:rsidRPr="004D3474">
        <w:rPr>
          <w:rFonts w:ascii="Cambria" w:hAnsi="Cambria"/>
        </w:rPr>
        <w:lastRenderedPageBreak/>
        <w:t>semua santri di pesantren dan kyai pesantren. Selama ini, budaya pesantren masih sangat patriarki, misalnya santri perempuan tunduk pada aturan yang ketat dan perempuan dianggap sebagai makhluk di bawah bayang-bayang laki-laki.</w:t>
      </w:r>
      <w:r w:rsidRPr="004D3474">
        <w:rPr>
          <w:rStyle w:val="FootnoteReference"/>
          <w:rFonts w:ascii="Cambria" w:hAnsi="Cambria"/>
        </w:rPr>
        <w:footnoteReference w:id="29"/>
      </w:r>
      <w:r w:rsidRPr="004D3474">
        <w:rPr>
          <w:rFonts w:ascii="Cambria" w:hAnsi="Cambria"/>
        </w:rPr>
        <w:t xml:space="preserve"> Sebagian besar pesantren tidak hanya mengatur tubuh perempuan, tetapi juga hasrat seksual mereka. Selain itu, para santri perempuan dipersiapkan untuk menjadi istri yang sholihah bagi laki-laki, dan bukan dipersiapkan sebagai pemimpin. Melalui pemahaman ini, privatisasi perempuan dalam konteks pesantren selama ini menjadi ruh ajaran dengan bayang-bayang ajaran Islam dan tradisi Arab.</w:t>
      </w:r>
    </w:p>
    <w:p w14:paraId="7519AF1F" w14:textId="77777777" w:rsidR="00B76C58" w:rsidRPr="004D3474" w:rsidRDefault="00B76C58" w:rsidP="00B76C58">
      <w:pPr>
        <w:ind w:firstLine="720"/>
        <w:rPr>
          <w:rFonts w:ascii="Cambria" w:hAnsi="Cambria"/>
          <w:b/>
          <w:bCs/>
        </w:rPr>
      </w:pPr>
      <w:r w:rsidRPr="004D3474">
        <w:rPr>
          <w:rFonts w:ascii="Cambria" w:hAnsi="Cambria"/>
        </w:rPr>
        <w:t xml:space="preserve">Melalui sejarah pesantren sebagaimana jelaskan di atas, diperlukan adanya progresivitas </w:t>
      </w:r>
      <w:r w:rsidRPr="004D3474">
        <w:rPr>
          <w:rFonts w:ascii="Cambria" w:hAnsi="Cambria"/>
          <w:i/>
          <w:iCs/>
        </w:rPr>
        <w:t>ijtihad</w:t>
      </w:r>
      <w:r w:rsidRPr="004D3474">
        <w:rPr>
          <w:rFonts w:ascii="Cambria" w:hAnsi="Cambria"/>
        </w:rPr>
        <w:t xml:space="preserve"> sebagai bentuk respon pesantren terhadap isu-isu kontemporer. Dalam konteks hari ini, pesantren dituntut untuk menyesuaikan diri berbagai perkembangan dan isu tentang relasi perempuan itungan masyarakat Muslim. Oleh </w:t>
      </w:r>
      <w:r w:rsidRPr="00B76C58">
        <w:rPr>
          <w:rFonts w:ascii="Cambria" w:hAnsi="Cambria" w:cstheme="majorBidi"/>
          <w:lang w:val="sv-SE"/>
        </w:rPr>
        <w:t>karenanya</w:t>
      </w:r>
      <w:r w:rsidRPr="004D3474">
        <w:rPr>
          <w:rFonts w:ascii="Cambria" w:hAnsi="Cambria"/>
        </w:rPr>
        <w:t>, pesantren dalam konteks hari ini meresponnya dengan berbagai strategi dan upaya untuk mengembalikan kembali marwah pesantren yang mengedepankan nilai-nilai fundamental ajaran agama, yaitu kesetaraan dan keadilan. Pesantren juga menginginkan adanya penghilangan kelas yang diakibatkan oleh jenis kelamin laki-laki dan perempuan.</w:t>
      </w:r>
    </w:p>
    <w:p w14:paraId="75603251" w14:textId="77777777" w:rsidR="00B76C58" w:rsidRPr="004D3474" w:rsidRDefault="00B76C58" w:rsidP="00B76C58">
      <w:pPr>
        <w:ind w:firstLine="720"/>
        <w:rPr>
          <w:rFonts w:ascii="Cambria" w:hAnsi="Cambria"/>
          <w:b/>
          <w:bCs/>
        </w:rPr>
      </w:pPr>
      <w:r w:rsidRPr="004D3474">
        <w:rPr>
          <w:rFonts w:ascii="Cambria" w:hAnsi="Cambria"/>
        </w:rPr>
        <w:t>Para aktivis pesantren akhir-akhir ini telah memposisikan diri pada sebuah pemikiran tentang posisi pesantren di tengah isu gender. Pada lokasi penelitian di pondok pesantren Jawa Timur, dapat dipahami bahwa pondok pesantren di Jawa Timur memiliki peran penting dalam revitalisasi pembentukan karakter masyarakat dan para santri. Berkaitan dengan representasi dan kondisi perdebatan masyarakat global tentang kesetaraan gender, pondok pesantren di Jawa Timur telah memposisikan diri pada sebuah institusi yang merespon isu ini dengan pola pemikiran dan adaptasi perkembangan serta dinamika masyarakat kontemporer. Dalam hal ini, pondok pesantren di Jawa Timur memiliki sejarah dan tradisi yang berpegang teguh pada nilai-nilai yang diturunkan dari generasi ke generasi. Oleh karenanya, sejarah panjang pondok pesantren ini telah menjadi pola eksplorasi dan interpretasi ajaran keagamaan di institusi pesantren untuk dirombak menjadi sebuah pemikiran yang inklusif guna mendukung peran perempuan dalam konteks masyarakat kontemporer.</w:t>
      </w:r>
    </w:p>
    <w:p w14:paraId="06774996" w14:textId="77777777" w:rsidR="00B76C58" w:rsidRPr="004D3474" w:rsidRDefault="00B76C58" w:rsidP="00B76C58">
      <w:pPr>
        <w:ind w:firstLine="720"/>
        <w:rPr>
          <w:rFonts w:ascii="Cambria" w:hAnsi="Cambria"/>
          <w:b/>
          <w:bCs/>
        </w:rPr>
      </w:pPr>
      <w:r w:rsidRPr="004D3474">
        <w:rPr>
          <w:rFonts w:ascii="Cambria" w:hAnsi="Cambria"/>
        </w:rPr>
        <w:lastRenderedPageBreak/>
        <w:t xml:space="preserve">Pondok pesantren di Jawa Timur juga menjadi rumah untuk santri perempuan guna memberikan fasilitas pendidikan yang setara dengan pola-pola pendidikan ber kesetaraan gender. Perancangan pendidikan bagi santri perempuan telah mengejawantahkan adanya revitalisasi keterampilan dan pengetahuan perempuan tentang upaya menciptakan kesetaraan gender dalam kehidupan masyarakat Muslim. Pondok pesantren di Jawa Timur juga mempraktikkan kepemimpinan perempuan dalam setiap kegiatan dan pola kehidupan di pesantren. Langkah ini </w:t>
      </w:r>
      <w:r w:rsidRPr="00B76C58">
        <w:rPr>
          <w:rFonts w:ascii="Cambria" w:hAnsi="Cambria" w:cstheme="majorBidi"/>
          <w:lang w:val="sv-SE"/>
        </w:rPr>
        <w:t>menunjukkan</w:t>
      </w:r>
      <w:r w:rsidRPr="004D3474">
        <w:rPr>
          <w:rFonts w:ascii="Cambria" w:hAnsi="Cambria"/>
        </w:rPr>
        <w:t xml:space="preserve"> pengakuan terhadap perempuan dan kontribusi perempuan dalam dunia pesantren dan masyarakat Muslim.</w:t>
      </w:r>
      <w:r w:rsidRPr="004D3474">
        <w:rPr>
          <w:rStyle w:val="FootnoteReference"/>
          <w:rFonts w:ascii="Cambria" w:hAnsi="Cambria"/>
        </w:rPr>
        <w:footnoteReference w:id="30"/>
      </w:r>
    </w:p>
    <w:p w14:paraId="2B94A1FD" w14:textId="294EB238" w:rsidR="00B76C58" w:rsidRDefault="00B76C58" w:rsidP="00B76C58">
      <w:pPr>
        <w:ind w:firstLine="720"/>
        <w:rPr>
          <w:rFonts w:ascii="Cambria" w:hAnsi="Cambria"/>
        </w:rPr>
      </w:pPr>
      <w:r w:rsidRPr="004D3474">
        <w:rPr>
          <w:rFonts w:ascii="Cambria" w:hAnsi="Cambria"/>
        </w:rPr>
        <w:t xml:space="preserve">Revitalisasi respon pondok pesantren di Jawa Timur tentang kesetaraan gender juga direfleksikan dalam perkembangan media dan teknologi hari ini. Respon ini dengan </w:t>
      </w:r>
      <w:r w:rsidRPr="00B76C58">
        <w:rPr>
          <w:rFonts w:ascii="Cambria" w:hAnsi="Cambria" w:cstheme="majorBidi"/>
          <w:lang w:val="sv-SE"/>
        </w:rPr>
        <w:t>melihat</w:t>
      </w:r>
      <w:r w:rsidRPr="004D3474">
        <w:rPr>
          <w:rFonts w:ascii="Cambria" w:hAnsi="Cambria"/>
        </w:rPr>
        <w:t xml:space="preserve"> adanya perkembangan dan dinamika tentang pengaruh globalisasi dan media sosial terhadap praktik masyarakat Muslim kontemporer. Penyediaan pemahaman terhadap para santri tentang platform media juga menunjukkan adanya revitalisasi pesantren tentang paradigma kehidupan kontemporer bagi para civitas akademika pesantren. Bukti ini menunjukkan adanya progresivitas respon pondok pesantren di Jawa Timur terhadap perkembangan teknologi dengan nilai dasar-dasar yang dikembangkan melalui nilai fundamental dalam ajaran Islam.</w:t>
      </w:r>
      <w:r w:rsidRPr="004D3474">
        <w:rPr>
          <w:rStyle w:val="FootnoteReference"/>
          <w:rFonts w:ascii="Cambria" w:hAnsi="Cambria"/>
        </w:rPr>
        <w:footnoteReference w:id="31"/>
      </w:r>
      <w:r w:rsidRPr="004D3474">
        <w:rPr>
          <w:rFonts w:ascii="Cambria" w:hAnsi="Cambria"/>
        </w:rPr>
        <w:t xml:space="preserve"> Dalam konteks ini, perkembangan media telah menjadi sarana pondok pesantren untuk mengembangkan dan memposisikan diri dalam situasi kondisi serta kontestasi masyarakat Muslim kontemporer.</w:t>
      </w:r>
    </w:p>
    <w:p w14:paraId="4DA82C8B" w14:textId="4442BB67" w:rsidR="00B76C58" w:rsidRDefault="00B76C58" w:rsidP="00B76C58">
      <w:pPr>
        <w:rPr>
          <w:rFonts w:ascii="Cambria" w:hAnsi="Cambria"/>
        </w:rPr>
      </w:pPr>
      <w:r w:rsidRPr="004D3474">
        <w:rPr>
          <w:rFonts w:ascii="Cambria" w:hAnsi="Cambria"/>
          <w:b/>
          <w:bCs/>
        </w:rPr>
        <w:t>REALISASI HALAQAH FIKIH PERADABAN BERBASIS KESETARAAN GENDER DI PONDOK PESANTREN JAWA TIMUR</w:t>
      </w:r>
    </w:p>
    <w:p w14:paraId="67DBE0E0" w14:textId="77777777" w:rsidR="00B76C58" w:rsidRPr="004D3474" w:rsidRDefault="00B76C58" w:rsidP="00B76C58">
      <w:pPr>
        <w:ind w:firstLine="720"/>
        <w:rPr>
          <w:rFonts w:ascii="Cambria" w:hAnsi="Cambria"/>
          <w:b/>
          <w:bCs/>
        </w:rPr>
      </w:pPr>
      <w:r w:rsidRPr="004D3474">
        <w:rPr>
          <w:rFonts w:ascii="Cambria" w:hAnsi="Cambria"/>
        </w:rPr>
        <w:t>Realisasi halaqah fikih peradaban pada dasarnya dipersiapkan untuk membangun langkah progresif pondok pesantren dalam menguatkan pemahaman keislaman yang inklusif.</w:t>
      </w:r>
      <w:r w:rsidRPr="004D3474">
        <w:rPr>
          <w:rStyle w:val="FootnoteReference"/>
          <w:rFonts w:ascii="Cambria" w:hAnsi="Cambria"/>
        </w:rPr>
        <w:footnoteReference w:id="32"/>
      </w:r>
      <w:r w:rsidRPr="004D3474">
        <w:rPr>
          <w:rFonts w:ascii="Cambria" w:hAnsi="Cambria"/>
        </w:rPr>
        <w:t xml:space="preserve"> Realisasi halaqah fikih peradaban berbasis kesetaraan gender pada dasarnya merupakan upaya dan inisiasi untuk mengintegrasikan nilai-nilai keislaman dan kesetaraan gender dalam kajian fikih. Dalam konteks ini, fikih peradaban dipahami sebagai sebuah kajian tentang perumusan hukum solutif di </w:t>
      </w:r>
      <w:r w:rsidRPr="004D3474">
        <w:rPr>
          <w:rFonts w:ascii="Cambria" w:hAnsi="Cambria"/>
        </w:rPr>
        <w:lastRenderedPageBreak/>
        <w:t>tengah masyarakat modern.</w:t>
      </w:r>
      <w:r w:rsidRPr="004D3474">
        <w:rPr>
          <w:rStyle w:val="FootnoteReference"/>
          <w:rFonts w:ascii="Cambria" w:hAnsi="Cambria"/>
        </w:rPr>
        <w:footnoteReference w:id="33"/>
      </w:r>
      <w:r w:rsidRPr="004D3474">
        <w:rPr>
          <w:rFonts w:ascii="Cambria" w:hAnsi="Cambria"/>
        </w:rPr>
        <w:t xml:space="preserve"> Artinya, realisasi halaqah fikih peradaban menunjukkan adanya upaya untuk merespon berbagai persoalan dan dinamika yang berkaitan dengan ketidaksetaraan gender yang sering muncul di tengah interpretasi hukum (fikih) Islam klasik.</w:t>
      </w:r>
    </w:p>
    <w:p w14:paraId="794EDDB8" w14:textId="77777777" w:rsidR="00B76C58" w:rsidRPr="004D3474" w:rsidRDefault="00B76C58" w:rsidP="00B76C58">
      <w:pPr>
        <w:ind w:firstLine="720"/>
        <w:rPr>
          <w:rFonts w:ascii="Cambria" w:hAnsi="Cambria"/>
          <w:b/>
          <w:bCs/>
        </w:rPr>
      </w:pPr>
      <w:r w:rsidRPr="004D3474">
        <w:rPr>
          <w:rFonts w:ascii="Cambria" w:hAnsi="Cambria"/>
        </w:rPr>
        <w:t xml:space="preserve">Sebagai landasan metodologis, halaqah fikih peradaban memiliki pola </w:t>
      </w:r>
      <w:r w:rsidRPr="004D3474">
        <w:rPr>
          <w:rFonts w:ascii="Cambria" w:hAnsi="Cambria"/>
          <w:i/>
          <w:iCs/>
        </w:rPr>
        <w:t>ijtihad</w:t>
      </w:r>
      <w:r w:rsidRPr="004D3474">
        <w:rPr>
          <w:rFonts w:ascii="Cambria" w:hAnsi="Cambria"/>
        </w:rPr>
        <w:t xml:space="preserve"> dengan interpretasi nilai-nilai toleransi, keadilan, dan kesetaraan dalam sistem kemasyarakatan dan kenegaraan.</w:t>
      </w:r>
      <w:r w:rsidRPr="004D3474">
        <w:rPr>
          <w:rStyle w:val="FootnoteReference"/>
          <w:rFonts w:ascii="Cambria" w:hAnsi="Cambria"/>
        </w:rPr>
        <w:footnoteReference w:id="34"/>
      </w:r>
      <w:r w:rsidRPr="004D3474">
        <w:rPr>
          <w:rFonts w:ascii="Cambria" w:hAnsi="Cambria"/>
        </w:rPr>
        <w:t xml:space="preserve"> Lebih jauh, metodologi </w:t>
      </w:r>
      <w:r w:rsidRPr="004D3474">
        <w:rPr>
          <w:rFonts w:ascii="Cambria" w:hAnsi="Cambria"/>
          <w:i/>
          <w:iCs/>
        </w:rPr>
        <w:t>ijtihad</w:t>
      </w:r>
      <w:r w:rsidRPr="004D3474">
        <w:rPr>
          <w:rFonts w:ascii="Cambria" w:hAnsi="Cambria"/>
        </w:rPr>
        <w:t xml:space="preserve"> ini bertujuan untuk menciptakan masyarakat yang adil dan toleran. Terlebih di Indonesia, kemajemukan masyarakat sangat erat kaitannya dengan perbedaan-perbedaan yang memicu adanya konflik antar golongan. Pola </w:t>
      </w:r>
      <w:r w:rsidRPr="004D3474">
        <w:rPr>
          <w:rFonts w:ascii="Cambria" w:hAnsi="Cambria"/>
          <w:i/>
          <w:iCs/>
        </w:rPr>
        <w:t>ijtihad</w:t>
      </w:r>
      <w:r w:rsidRPr="004D3474">
        <w:rPr>
          <w:rFonts w:ascii="Cambria" w:hAnsi="Cambria"/>
        </w:rPr>
        <w:t xml:space="preserve"> dalam halaqah fikih peradaban diperuntukkan untuk menjawab tantangan dan perkembangan zaman dengan solusi yang relevan dengan kondisi sosiokultural masyarakat hari ini. Melalui pemahaman ini, interpretasi teks dalam </w:t>
      </w:r>
      <w:r w:rsidRPr="004D3474">
        <w:rPr>
          <w:rFonts w:ascii="Cambria" w:hAnsi="Cambria"/>
          <w:i/>
          <w:iCs/>
        </w:rPr>
        <w:t>nash</w:t>
      </w:r>
      <w:r w:rsidRPr="004D3474">
        <w:rPr>
          <w:rFonts w:ascii="Cambria" w:hAnsi="Cambria"/>
        </w:rPr>
        <w:t xml:space="preserve"> dipahami secara elastis untuk </w:t>
      </w:r>
      <w:r w:rsidRPr="00B76C58">
        <w:rPr>
          <w:rFonts w:ascii="Cambria" w:hAnsi="Cambria" w:cstheme="majorBidi"/>
          <w:lang w:val="sv-SE"/>
        </w:rPr>
        <w:t>mempertimbangkan</w:t>
      </w:r>
      <w:r w:rsidRPr="004D3474">
        <w:rPr>
          <w:rFonts w:ascii="Cambria" w:hAnsi="Cambria"/>
        </w:rPr>
        <w:t xml:space="preserve"> konteks historis dan sosiologis di mana hukum bisa diterapkan. Pendekatan </w:t>
      </w:r>
      <w:r w:rsidRPr="004D3474">
        <w:rPr>
          <w:rFonts w:ascii="Cambria" w:hAnsi="Cambria"/>
          <w:i/>
          <w:iCs/>
        </w:rPr>
        <w:t>ijtihad</w:t>
      </w:r>
      <w:r w:rsidRPr="004D3474">
        <w:rPr>
          <w:rFonts w:ascii="Cambria" w:hAnsi="Cambria"/>
        </w:rPr>
        <w:t xml:space="preserve"> ini menekankan akan pentingnya realisasi maqashid syari'ah sebagai upaya untuk memberikan perlindungan terhadap kepentingan agama, jiwa, akal, keturunan, dan harta.</w:t>
      </w:r>
      <w:r w:rsidRPr="004D3474">
        <w:rPr>
          <w:rStyle w:val="FootnoteReference"/>
          <w:rFonts w:ascii="Cambria" w:hAnsi="Cambria"/>
        </w:rPr>
        <w:footnoteReference w:id="35"/>
      </w:r>
      <w:r w:rsidRPr="004D3474">
        <w:rPr>
          <w:rFonts w:ascii="Cambria" w:hAnsi="Cambria"/>
        </w:rPr>
        <w:t xml:space="preserve"> Berfokus pada metode </w:t>
      </w:r>
      <w:r w:rsidRPr="004D3474">
        <w:rPr>
          <w:rFonts w:ascii="Cambria" w:hAnsi="Cambria"/>
          <w:i/>
          <w:iCs/>
        </w:rPr>
        <w:t>ijtihad</w:t>
      </w:r>
      <w:r w:rsidRPr="004D3474">
        <w:rPr>
          <w:rFonts w:ascii="Cambria" w:hAnsi="Cambria"/>
        </w:rPr>
        <w:t xml:space="preserve"> ini, halaqah fikih peradaban merupakan manifestasi untuk mewujudkan keadilan substantif dalam perangkat hukum Islam kontemporer.</w:t>
      </w:r>
    </w:p>
    <w:p w14:paraId="619CCEB5" w14:textId="77777777" w:rsidR="00B76C58" w:rsidRPr="004D3474" w:rsidRDefault="00B76C58" w:rsidP="00B76C58">
      <w:pPr>
        <w:ind w:firstLine="720"/>
        <w:rPr>
          <w:rFonts w:ascii="Cambria" w:hAnsi="Cambria"/>
          <w:b/>
          <w:bCs/>
        </w:rPr>
      </w:pPr>
      <w:r w:rsidRPr="00B76C58">
        <w:rPr>
          <w:rFonts w:ascii="Cambria" w:hAnsi="Cambria" w:cstheme="majorBidi"/>
          <w:lang w:val="sv-SE"/>
        </w:rPr>
        <w:t>Selanjutnya</w:t>
      </w:r>
      <w:r w:rsidRPr="004D3474">
        <w:rPr>
          <w:rFonts w:ascii="Cambria" w:hAnsi="Cambria"/>
        </w:rPr>
        <w:t xml:space="preserve">, dalam realisasinya halaqah fikih peradaban juga menerapkan </w:t>
      </w:r>
      <w:r w:rsidRPr="004D3474">
        <w:rPr>
          <w:rFonts w:ascii="Cambria" w:hAnsi="Cambria"/>
          <w:i/>
          <w:iCs/>
        </w:rPr>
        <w:t>ijtihad</w:t>
      </w:r>
      <w:r w:rsidRPr="004D3474">
        <w:rPr>
          <w:rFonts w:ascii="Cambria" w:hAnsi="Cambria"/>
        </w:rPr>
        <w:t xml:space="preserve"> kolektif dalam merealisasikan integrasi dalam </w:t>
      </w:r>
      <w:r w:rsidRPr="004D3474">
        <w:rPr>
          <w:rFonts w:ascii="Cambria" w:hAnsi="Cambria"/>
          <w:i/>
          <w:iCs/>
        </w:rPr>
        <w:t>ijtihad</w:t>
      </w:r>
      <w:r w:rsidRPr="004D3474">
        <w:rPr>
          <w:rFonts w:ascii="Cambria" w:hAnsi="Cambria"/>
        </w:rPr>
        <w:t xml:space="preserve">. Dalam praktiknya, analisa secara substansial terhadap teks dan integrasi dengan keilmuan terkait seperti sosial, politik, hukum, kesehatan, dan hak asasi manusia menjadi salah satu ciri khas dalam </w:t>
      </w:r>
      <w:r w:rsidRPr="004D3474">
        <w:rPr>
          <w:rFonts w:ascii="Cambria" w:hAnsi="Cambria"/>
          <w:i/>
          <w:iCs/>
        </w:rPr>
        <w:t>ijtihad</w:t>
      </w:r>
      <w:r w:rsidRPr="004D3474">
        <w:rPr>
          <w:rFonts w:ascii="Cambria" w:hAnsi="Cambria"/>
        </w:rPr>
        <w:t xml:space="preserve"> fikih peradaban.</w:t>
      </w:r>
      <w:r w:rsidRPr="004D3474">
        <w:rPr>
          <w:rStyle w:val="FootnoteReference"/>
          <w:rFonts w:ascii="Cambria" w:hAnsi="Cambria"/>
        </w:rPr>
        <w:footnoteReference w:id="36"/>
      </w:r>
      <w:r w:rsidRPr="004D3474">
        <w:rPr>
          <w:rFonts w:ascii="Cambria" w:hAnsi="Cambria"/>
        </w:rPr>
        <w:t xml:space="preserve"> Melalui </w:t>
      </w:r>
      <w:r w:rsidRPr="004D3474">
        <w:rPr>
          <w:rFonts w:ascii="Cambria" w:hAnsi="Cambria"/>
          <w:i/>
          <w:iCs/>
        </w:rPr>
        <w:t>ijtihad</w:t>
      </w:r>
      <w:r w:rsidRPr="004D3474">
        <w:rPr>
          <w:rFonts w:ascii="Cambria" w:hAnsi="Cambria"/>
        </w:rPr>
        <w:t xml:space="preserve"> semacam ini, diharapkan hukum yang diciptakan mampu membaur dengan apa yang dibutuhkan oleh masyarakat secara luas.</w:t>
      </w:r>
    </w:p>
    <w:p w14:paraId="57B2E120" w14:textId="77777777" w:rsidR="00B76C58" w:rsidRPr="004D3474" w:rsidRDefault="00B76C58" w:rsidP="00B76C58">
      <w:pPr>
        <w:ind w:firstLine="720"/>
        <w:rPr>
          <w:rFonts w:ascii="Cambria" w:hAnsi="Cambria"/>
          <w:b/>
          <w:bCs/>
        </w:rPr>
      </w:pPr>
      <w:r w:rsidRPr="004D3474">
        <w:rPr>
          <w:rFonts w:ascii="Cambria" w:hAnsi="Cambria"/>
        </w:rPr>
        <w:t xml:space="preserve">Secara umum realisasi halaqah peradaban berbasis kesetaraan gender di pondok pesantren Jawa Timur bisa dilihat dari pelaksanaan halaqah fikih peradaban </w:t>
      </w:r>
      <w:r w:rsidRPr="004D3474">
        <w:rPr>
          <w:rFonts w:ascii="Cambria" w:hAnsi="Cambria"/>
        </w:rPr>
        <w:lastRenderedPageBreak/>
        <w:t xml:space="preserve">sendiri yang mengedepankan </w:t>
      </w:r>
      <w:r w:rsidRPr="004D3474">
        <w:rPr>
          <w:rFonts w:ascii="Cambria" w:hAnsi="Cambria"/>
          <w:i/>
          <w:iCs/>
        </w:rPr>
        <w:t>ijtihad</w:t>
      </w:r>
      <w:r w:rsidRPr="004D3474">
        <w:rPr>
          <w:rFonts w:ascii="Cambria" w:hAnsi="Cambria"/>
        </w:rPr>
        <w:t xml:space="preserve"> progresif. Realisasi fikih peradaban berbasis kesetaraan gender di pondok pesantren Jawa Timur bisa dilihat melalui pelaksanaan halaqah yang mengedepankan </w:t>
      </w:r>
      <w:r w:rsidRPr="004D3474">
        <w:rPr>
          <w:rFonts w:ascii="Cambria" w:hAnsi="Cambria"/>
          <w:i/>
          <w:iCs/>
        </w:rPr>
        <w:t>ijtihad</w:t>
      </w:r>
      <w:r w:rsidRPr="004D3474">
        <w:rPr>
          <w:rFonts w:ascii="Cambria" w:hAnsi="Cambria"/>
        </w:rPr>
        <w:t xml:space="preserve"> progresif dalam memahami peran gender. </w:t>
      </w:r>
      <w:r w:rsidRPr="004D3474">
        <w:rPr>
          <w:rFonts w:ascii="Cambria" w:hAnsi="Cambria"/>
          <w:i/>
          <w:iCs/>
        </w:rPr>
        <w:t>Ijtihad</w:t>
      </w:r>
      <w:r w:rsidRPr="004D3474">
        <w:rPr>
          <w:rFonts w:ascii="Cambria" w:hAnsi="Cambria"/>
        </w:rPr>
        <w:t xml:space="preserve"> progresif melalui perumusan fikih peradaban diupayakan untuk merepresentasikan interpretasi baru yang adaptif terhadap perkembangan realitas </w:t>
      </w:r>
      <w:r w:rsidRPr="00B76C58">
        <w:rPr>
          <w:rFonts w:ascii="Cambria" w:hAnsi="Cambria" w:cstheme="majorBidi"/>
          <w:lang w:val="sv-SE"/>
        </w:rPr>
        <w:t>masyarakat</w:t>
      </w:r>
      <w:r w:rsidRPr="004D3474">
        <w:rPr>
          <w:rFonts w:ascii="Cambria" w:hAnsi="Cambria"/>
        </w:rPr>
        <w:t xml:space="preserve"> modern. Tujuannya adalah untuk tidak mengesampingkan prinsip-prinsip dasar syariah dalam tatanan masyarakat.</w:t>
      </w:r>
      <w:r w:rsidRPr="004D3474">
        <w:rPr>
          <w:rStyle w:val="FootnoteReference"/>
          <w:rFonts w:ascii="Cambria" w:hAnsi="Cambria"/>
        </w:rPr>
        <w:footnoteReference w:id="37"/>
      </w:r>
      <w:r w:rsidRPr="004D3474">
        <w:rPr>
          <w:rFonts w:ascii="Cambria" w:hAnsi="Cambria"/>
        </w:rPr>
        <w:t xml:space="preserve"> Halaqah fikih peradaban ini juga mengejawantahkan atas </w:t>
      </w:r>
      <w:r w:rsidRPr="004D3474">
        <w:rPr>
          <w:rFonts w:ascii="Cambria" w:hAnsi="Cambria"/>
          <w:i/>
          <w:iCs/>
        </w:rPr>
        <w:t>ijtihad</w:t>
      </w:r>
      <w:r w:rsidRPr="004D3474">
        <w:rPr>
          <w:rFonts w:ascii="Cambria" w:hAnsi="Cambria"/>
        </w:rPr>
        <w:t xml:space="preserve"> berbasis kesetaraan gender yang memiliki fokus pada hak-hak perempuan pada sektor ekonomi, pendidikan, dan partisipasi sosial.</w:t>
      </w:r>
    </w:p>
    <w:p w14:paraId="04736DA2" w14:textId="77777777" w:rsidR="00B76C58" w:rsidRPr="004D3474" w:rsidRDefault="00B76C58" w:rsidP="00B76C58">
      <w:pPr>
        <w:ind w:firstLine="720"/>
        <w:rPr>
          <w:rFonts w:ascii="Cambria" w:hAnsi="Cambria"/>
          <w:b/>
          <w:bCs/>
        </w:rPr>
      </w:pPr>
      <w:r w:rsidRPr="004D3474">
        <w:rPr>
          <w:rFonts w:ascii="Cambria" w:hAnsi="Cambria"/>
        </w:rPr>
        <w:t xml:space="preserve">Pondok pesantren di Jawa Timur, seperti Pondok Pesantren Darunnajah Bandung </w:t>
      </w:r>
      <w:r w:rsidRPr="00B76C58">
        <w:rPr>
          <w:rFonts w:ascii="Cambria" w:hAnsi="Cambria" w:cstheme="majorBidi"/>
          <w:lang w:val="sv-SE"/>
        </w:rPr>
        <w:t>Tulungagung</w:t>
      </w:r>
      <w:r w:rsidRPr="004D3474">
        <w:rPr>
          <w:rFonts w:ascii="Cambria" w:hAnsi="Cambria"/>
        </w:rPr>
        <w:t>, Pondok Pesantren Al Kamal Blitar, dan Yayasan Pondok Pesantren Bahrul Ulum Jombang menginisiasi adanya halaqah fikih peradaban yang inklusif. Bentuk konkrit dari pelaksanaan halaqah fikih peradaban berbasis kesetaraan gender di aplikasikan melalui upaya pengajaran dan mendorong kesadaran kritis santri terhadap isu-isu hak perempuan dalam Islam. Praktik kesetaraan gender juga diaplikasikan melalui kehidupan keseharian di lingkungan pesantren, di mana semua santri laki-laki dan perempuan dilibatkan secara setara dalam kegiatan keilmuan dan kegiatan sosial kepesantrenan.</w:t>
      </w:r>
    </w:p>
    <w:p w14:paraId="5B418DA2" w14:textId="77777777" w:rsidR="00B76C58" w:rsidRPr="004D3474" w:rsidRDefault="00B76C58" w:rsidP="00B76C58">
      <w:pPr>
        <w:ind w:firstLine="720"/>
        <w:rPr>
          <w:rFonts w:ascii="Cambria" w:hAnsi="Cambria"/>
          <w:b/>
          <w:bCs/>
        </w:rPr>
      </w:pPr>
      <w:r w:rsidRPr="004D3474">
        <w:rPr>
          <w:rFonts w:ascii="Cambria" w:hAnsi="Cambria"/>
        </w:rPr>
        <w:t xml:space="preserve">Selain itu, pelibatan tokoh seperti ulama perempuan juga menjadi kunci penting terhadap metodologi </w:t>
      </w:r>
      <w:r w:rsidRPr="004D3474">
        <w:rPr>
          <w:rFonts w:ascii="Cambria" w:hAnsi="Cambria"/>
          <w:i/>
          <w:iCs/>
        </w:rPr>
        <w:t>ijtihad</w:t>
      </w:r>
      <w:r w:rsidRPr="004D3474">
        <w:rPr>
          <w:rFonts w:ascii="Cambria" w:hAnsi="Cambria"/>
        </w:rPr>
        <w:t xml:space="preserve"> dalam pagelaran halaqah fikih peradaban.</w:t>
      </w:r>
      <w:r w:rsidRPr="004D3474">
        <w:rPr>
          <w:rStyle w:val="FootnoteReference"/>
          <w:rFonts w:ascii="Cambria" w:hAnsi="Cambria"/>
        </w:rPr>
        <w:footnoteReference w:id="38"/>
      </w:r>
      <w:r w:rsidRPr="004D3474">
        <w:rPr>
          <w:rFonts w:ascii="Cambria" w:hAnsi="Cambria"/>
        </w:rPr>
        <w:t xml:space="preserve"> Keterlibatan ulama perempuan tidak hanya memberikan pandangan berbeda terkait isu gender, tetapi juga menguatkan posisi perempuan sebagai figur penting dalam </w:t>
      </w:r>
      <w:r w:rsidRPr="00B76C58">
        <w:rPr>
          <w:rFonts w:ascii="Cambria" w:hAnsi="Cambria" w:cstheme="majorBidi"/>
          <w:lang w:val="sv-SE"/>
        </w:rPr>
        <w:t>komunitas</w:t>
      </w:r>
      <w:r w:rsidRPr="004D3474">
        <w:rPr>
          <w:rFonts w:ascii="Cambria" w:hAnsi="Cambria"/>
        </w:rPr>
        <w:t xml:space="preserve"> pesantren. Dengan demikian, halaqah ini mendorong terwujudnya lingkungan yang lebih inklusif di pondok pesantren, di mana perempuan memiliki ruang yang lebih luas untuk berperan dan menyuarakan pandangan mereka.</w:t>
      </w:r>
      <w:r w:rsidRPr="004D3474">
        <w:rPr>
          <w:rStyle w:val="FootnoteReference"/>
          <w:rFonts w:ascii="Cambria" w:hAnsi="Cambria"/>
        </w:rPr>
        <w:footnoteReference w:id="39"/>
      </w:r>
    </w:p>
    <w:p w14:paraId="6C573AE0" w14:textId="7CE35903" w:rsidR="00B76C58" w:rsidRDefault="00B76C58" w:rsidP="00B76C58">
      <w:pPr>
        <w:ind w:firstLine="720"/>
        <w:rPr>
          <w:rFonts w:ascii="Cambria" w:hAnsi="Cambria"/>
        </w:rPr>
      </w:pPr>
      <w:r w:rsidRPr="004D3474">
        <w:rPr>
          <w:rFonts w:ascii="Cambria" w:hAnsi="Cambria"/>
        </w:rPr>
        <w:t xml:space="preserve">Selanjutnya, penguatan terhadap kesetaraan gender di lingkungan pondok pesantren melalui halaqoh fikih peradaban juga membawa implikasi terhadap pemahaman masyarakat tentang kesetaraan gender. Hal ini diawali oleh </w:t>
      </w:r>
      <w:r w:rsidRPr="004D3474">
        <w:rPr>
          <w:rFonts w:ascii="Cambria" w:hAnsi="Cambria"/>
        </w:rPr>
        <w:lastRenderedPageBreak/>
        <w:t xml:space="preserve">pemahaman para santri yang sejak awal dibekali oleh pemahaman tentang kesetaraan gender yang kemudian menjadi agen perubahan ketika kembali ke masyarakat. Para santri diharapkan mendorong terciptanya masyarakat inklusif pada ruang </w:t>
      </w:r>
      <w:r w:rsidRPr="00B76C58">
        <w:rPr>
          <w:rFonts w:ascii="Cambria" w:hAnsi="Cambria" w:cstheme="majorBidi"/>
          <w:lang w:val="sv-SE"/>
        </w:rPr>
        <w:t>keadilan</w:t>
      </w:r>
      <w:r w:rsidRPr="004D3474">
        <w:rPr>
          <w:rFonts w:ascii="Cambria" w:hAnsi="Cambria"/>
        </w:rPr>
        <w:t xml:space="preserve"> bagi perempuan pada ranah publik maupun domestik. Secara keseluruhan, realisasi halaqah fikih peradaban berbasis kesetaraan gender di pesantren Jawa Timur mencerminkan langkah strategis untuk membentuk masyarakat pesantren yang lebih inklusif. Melalui halaqah ini, pesantren tidak hanya menjadi tempat pembelajaran agama, melainkan lebih daripada itu pesantren sebagai pusat transformasi sosial yang berkontribusi terhadap terciptanya keadilan gender. Langkah ini sejalan dengan upaya menciptakan lingkungan yang adil dan merata, di mana semua masyarakat memiliki kesempatan yang sama untuk berkembang.</w:t>
      </w:r>
    </w:p>
    <w:p w14:paraId="7F8B648D" w14:textId="4102076D" w:rsidR="00B76C58" w:rsidRPr="004D3474" w:rsidRDefault="00B76C58" w:rsidP="00B76C58">
      <w:pPr>
        <w:rPr>
          <w:rFonts w:ascii="Cambria" w:hAnsi="Cambria"/>
          <w:b/>
          <w:bCs/>
        </w:rPr>
      </w:pPr>
      <w:r w:rsidRPr="004D3474">
        <w:rPr>
          <w:rFonts w:ascii="Cambria" w:hAnsi="Cambria"/>
          <w:b/>
          <w:bCs/>
        </w:rPr>
        <w:t>IMPLIKASI HALAQAH FIKIH PERADABAN DALAM MEWUJUDKAN KESETARAAN GENDER</w:t>
      </w:r>
    </w:p>
    <w:p w14:paraId="5A7482A7" w14:textId="77777777" w:rsidR="00B76C58" w:rsidRDefault="00B76C58" w:rsidP="00B76C58">
      <w:pPr>
        <w:ind w:firstLine="720"/>
        <w:rPr>
          <w:rFonts w:ascii="Cambria" w:hAnsi="Cambria"/>
        </w:rPr>
      </w:pPr>
      <w:r w:rsidRPr="004D3474">
        <w:rPr>
          <w:rFonts w:ascii="Cambria" w:hAnsi="Cambria"/>
        </w:rPr>
        <w:t xml:space="preserve">Halaqah fikih peradaban memiliki implikasi yang sangat signifikan untuk mewujudkan kesetaraan gender di lingkungan Pesantren maupun masyarakat. Melalui upaya perancangan pendidikan dengan prinsip-prinsip kesetaraan dalam Islam, halaqah </w:t>
      </w:r>
      <w:r>
        <w:rPr>
          <w:rFonts w:ascii="Cambria" w:hAnsi="Cambria"/>
        </w:rPr>
        <w:t>fikih</w:t>
      </w:r>
      <w:r w:rsidRPr="004D3474">
        <w:rPr>
          <w:rFonts w:ascii="Cambria" w:hAnsi="Cambria"/>
        </w:rPr>
        <w:t xml:space="preserve"> peradaban membuka peluang bagi perempuan untuk memiliki peran aktif dalam </w:t>
      </w:r>
      <w:r w:rsidRPr="00B76C58">
        <w:rPr>
          <w:rFonts w:ascii="Cambria" w:hAnsi="Cambria" w:cstheme="majorBidi"/>
          <w:lang w:val="sv-SE"/>
        </w:rPr>
        <w:t>kerangka</w:t>
      </w:r>
      <w:r w:rsidRPr="004D3474">
        <w:rPr>
          <w:rFonts w:ascii="Cambria" w:hAnsi="Cambria"/>
        </w:rPr>
        <w:t xml:space="preserve"> sosial kemasyarakatan. Implikasi halaqah fikih peradaban dalam mewujudkan kesetaraan gender adalah hasil dari adopsi dari model </w:t>
      </w:r>
      <w:r w:rsidRPr="004D3474">
        <w:rPr>
          <w:rFonts w:ascii="Cambria" w:hAnsi="Cambria"/>
          <w:i/>
          <w:iCs/>
        </w:rPr>
        <w:t>ijtihad</w:t>
      </w:r>
      <w:r w:rsidRPr="004D3474">
        <w:rPr>
          <w:rFonts w:ascii="Cambria" w:hAnsi="Cambria"/>
        </w:rPr>
        <w:t xml:space="preserve"> dalam halaqah fikih</w:t>
      </w:r>
      <w:r>
        <w:rPr>
          <w:rFonts w:ascii="Cambria" w:hAnsi="Cambria"/>
        </w:rPr>
        <w:t xml:space="preserve"> peradaban. </w:t>
      </w:r>
      <w:r w:rsidRPr="004D3474">
        <w:rPr>
          <w:rFonts w:ascii="Cambria" w:hAnsi="Cambria"/>
        </w:rPr>
        <w:t xml:space="preserve">Melalui pengambilan nilai standar dalam hal ini peradaban bisa diterapkan terhadap isu-isu diskriminasi yang terjadi terhadap perempuan selama ini. Dalam konteks pesantren, model </w:t>
      </w:r>
      <w:r w:rsidRPr="004D3474">
        <w:rPr>
          <w:rFonts w:ascii="Cambria" w:hAnsi="Cambria"/>
          <w:i/>
          <w:iCs/>
        </w:rPr>
        <w:t>ijtihad</w:t>
      </w:r>
      <w:r w:rsidRPr="004D3474">
        <w:rPr>
          <w:rFonts w:ascii="Cambria" w:hAnsi="Cambria"/>
        </w:rPr>
        <w:t xml:space="preserve"> ini memiliki relevansi atas nilai fundamental dalam kajian hukum Islam.</w:t>
      </w:r>
      <w:r w:rsidRPr="004D3474">
        <w:rPr>
          <w:rStyle w:val="FootnoteReference"/>
          <w:rFonts w:ascii="Cambria" w:hAnsi="Cambria"/>
        </w:rPr>
        <w:footnoteReference w:id="40"/>
      </w:r>
      <w:r w:rsidRPr="004D3474">
        <w:rPr>
          <w:rFonts w:ascii="Cambria" w:hAnsi="Cambria"/>
        </w:rPr>
        <w:t xml:space="preserve"> Hukum Islam selama ini dipahami sebagai nilai dasar yang mengedepankan pokok ajaran berbasis etika dan kepantasan.</w:t>
      </w:r>
      <w:r w:rsidRPr="004D3474">
        <w:rPr>
          <w:rStyle w:val="FootnoteReference"/>
          <w:rFonts w:ascii="Cambria" w:hAnsi="Cambria"/>
        </w:rPr>
        <w:footnoteReference w:id="41"/>
      </w:r>
      <w:r w:rsidRPr="004D3474">
        <w:rPr>
          <w:rFonts w:ascii="Cambria" w:hAnsi="Cambria"/>
        </w:rPr>
        <w:t xml:space="preserve"> </w:t>
      </w:r>
    </w:p>
    <w:p w14:paraId="42C52DD7" w14:textId="77777777" w:rsidR="00B76C58" w:rsidRPr="004D3474" w:rsidRDefault="00B76C58" w:rsidP="00B76C58">
      <w:pPr>
        <w:ind w:firstLine="720"/>
        <w:rPr>
          <w:rFonts w:ascii="Cambria" w:hAnsi="Cambria"/>
        </w:rPr>
      </w:pPr>
      <w:r w:rsidRPr="004D3474">
        <w:rPr>
          <w:rFonts w:ascii="Cambria" w:hAnsi="Cambria"/>
        </w:rPr>
        <w:t xml:space="preserve">Beberapa implikasi dari halaqah fikih peradaban adalah adanya dukungan terhadap kepemimpinan perempuan, pengembangan studi gender dan Islam, terwujudnya komunitas yang mendukung kesetaraan gender, serta terwujudnya platform advokasi sekarang gender berbasis kelompok. Secara keseluruhan, </w:t>
      </w:r>
      <w:r w:rsidRPr="004D3474">
        <w:rPr>
          <w:rFonts w:ascii="Cambria" w:hAnsi="Cambria"/>
        </w:rPr>
        <w:lastRenderedPageBreak/>
        <w:t>halaqah fikih peradaban memiliki peran strategis dalam mewujudkan kesetaraan gender melalui pendidikan, advokasi, dan pemberdayaan.</w:t>
      </w:r>
      <w:r w:rsidRPr="004D3474">
        <w:rPr>
          <w:rStyle w:val="FootnoteReference"/>
          <w:rFonts w:ascii="Cambria" w:hAnsi="Cambria"/>
        </w:rPr>
        <w:footnoteReference w:id="42"/>
      </w:r>
      <w:r w:rsidRPr="004D3474">
        <w:rPr>
          <w:rFonts w:ascii="Cambria" w:hAnsi="Cambria"/>
        </w:rPr>
        <w:t xml:space="preserve"> Dalam lingkup pesantren di wilayah Jawa Timur, halaqah fikih peradaban berbasis kesetaraan gender memiliki implikasi dalam merealisasikan kesetaraan gender. Perwujudan kesetaraan gender di </w:t>
      </w:r>
      <w:r w:rsidRPr="00B76C58">
        <w:rPr>
          <w:rFonts w:ascii="Cambria" w:hAnsi="Cambria" w:cstheme="majorBidi"/>
          <w:lang w:val="sv-SE"/>
        </w:rPr>
        <w:t>Pondok</w:t>
      </w:r>
      <w:r w:rsidRPr="004D3474">
        <w:rPr>
          <w:rFonts w:ascii="Cambria" w:hAnsi="Cambria"/>
        </w:rPr>
        <w:t xml:space="preserve"> Pesantren Darunnajah Bandung Tulungagung, Pondok Pesantren Al Kamal Blitar, dan Yayasan Pondok Pesantren Bahrul Ulum Jombang diwujudkan melalui praktik keseharian santri berlandaskan kesetaraan gender. Di mana setiap santri laki-laki maupun perempuan memiliki hak yang sama dalam proses pendidikan. Dalam prakteknya tidak ada diskriminasi berdasarkan jenis kelamin terhadap santri laki-laki dan perempuan.</w:t>
      </w:r>
    </w:p>
    <w:p w14:paraId="217C5D89" w14:textId="77777777" w:rsidR="00B76C58" w:rsidRPr="004D3474" w:rsidRDefault="00B76C58" w:rsidP="00B76C58">
      <w:pPr>
        <w:ind w:firstLine="720"/>
        <w:rPr>
          <w:rFonts w:ascii="Cambria" w:hAnsi="Cambria"/>
        </w:rPr>
      </w:pPr>
      <w:r w:rsidRPr="004D3474">
        <w:rPr>
          <w:rFonts w:ascii="Cambria" w:hAnsi="Cambria"/>
        </w:rPr>
        <w:t xml:space="preserve">Perancangan kurikulum pesantren dirancang dengan memiliki tujuan untuk menghilangkan sekat-sekat peran gender yang selama ini dianggap menghambat potensi santri perempuan. Dalam semua aspek, baik dalam pembelajaran agama, keterampilan hidup, maupun kegiatan ekstrakurikuler, santri perempuan dan laki-laki diberi kesempatan yang sama untuk berpartisipasi dalam pengembangan diri. Selain itu, Pondok Pesantren Darunnajah Bandung Tulungagung, Pondok Pesantren Al Kamal Blitar, dan Yayasan Pondok Pesantren Bahrul Ulum Jombang mengintegrasikan nilai-nilai kesetaraan gender dalam kegiatan kepemimpinan santri. Peran pemimpin organisasi di pesantren, seperti pengurus asrama, tidak dibatasi oleh gender. Santri perempuan didorong untuk mengambil peran-peran strategis, setara dengan santri laki-laki, baik dalam pengambilan keputusan maupun dalam pelaksanaan </w:t>
      </w:r>
      <w:r w:rsidRPr="00B76C58">
        <w:rPr>
          <w:rFonts w:ascii="Cambria" w:hAnsi="Cambria" w:cstheme="majorBidi"/>
          <w:lang w:val="sv-SE"/>
        </w:rPr>
        <w:t>kebijakan</w:t>
      </w:r>
      <w:r w:rsidRPr="004D3474">
        <w:rPr>
          <w:rFonts w:ascii="Cambria" w:hAnsi="Cambria"/>
        </w:rPr>
        <w:t xml:space="preserve"> di lingkungan pesantren. Di Pondok Pesantren Al Kamal Blitar, misalnya, santri perempuan terbukti mampu memimpin berbagai kegiatan pesantren, seperti pengajian dan kegiatan sosial, dengan dukungan penuh dari pengurus pesantren.</w:t>
      </w:r>
    </w:p>
    <w:p w14:paraId="3B1D0EBC" w14:textId="77777777" w:rsidR="00B76C58" w:rsidRPr="004D3474" w:rsidRDefault="00B76C58" w:rsidP="00B76C58">
      <w:pPr>
        <w:ind w:firstLine="720"/>
        <w:rPr>
          <w:rFonts w:ascii="Cambria" w:hAnsi="Cambria"/>
        </w:rPr>
      </w:pPr>
      <w:r w:rsidRPr="004D3474">
        <w:rPr>
          <w:rFonts w:ascii="Cambria" w:hAnsi="Cambria"/>
        </w:rPr>
        <w:t xml:space="preserve">Pondok Pesantren Darunnajah Bandung Tulungagung, Pondok Pesantren Al Kamal Blitar, dan Yayasan Pondok Pesantren Bahrul Ulum Jombang berupaya menyebarkan pemahaman tentang kesetaraan gender melalui halaqah, kajian, dan ceramah yang melibatkan setiap elemen pesantren yang lebih inklusif. Hal ini dilakukan untuk memberikan pemahaman bahwa Islam mendukung kesetaraan gender di semua aspek kehidupan. Dengan pendekatan ini, Pondok Pesantren Darunnajah Bandung Tulungagung, Pondok Pesantren Al Kamal Blitar, dan Yayasan </w:t>
      </w:r>
      <w:r w:rsidRPr="004D3474">
        <w:rPr>
          <w:rFonts w:ascii="Cambria" w:hAnsi="Cambria"/>
        </w:rPr>
        <w:lastRenderedPageBreak/>
        <w:t xml:space="preserve">Pondok Pesantren </w:t>
      </w:r>
      <w:r w:rsidRPr="00B76C58">
        <w:rPr>
          <w:rFonts w:ascii="Cambria" w:hAnsi="Cambria" w:cstheme="majorBidi"/>
          <w:lang w:val="sv-SE"/>
        </w:rPr>
        <w:t>Bahrul</w:t>
      </w:r>
      <w:r w:rsidRPr="004D3474">
        <w:rPr>
          <w:rFonts w:ascii="Cambria" w:hAnsi="Cambria"/>
        </w:rPr>
        <w:t xml:space="preserve"> Ulum Jombang berharap dapat mencetak generasi santri yang tidak hanya memahami agama secara mendalam, tetapi juga mampu menerapkan prinsip-prinsip keadilan gender di masyarakat.</w:t>
      </w:r>
    </w:p>
    <w:p w14:paraId="64CB2473" w14:textId="77777777" w:rsidR="00B76C58" w:rsidRPr="004D3474" w:rsidRDefault="00B76C58" w:rsidP="00B76C58">
      <w:pPr>
        <w:ind w:firstLine="720"/>
        <w:rPr>
          <w:rFonts w:ascii="Cambria" w:hAnsi="Cambria"/>
        </w:rPr>
      </w:pPr>
      <w:r w:rsidRPr="004D3474">
        <w:rPr>
          <w:rFonts w:ascii="Cambria" w:hAnsi="Cambria"/>
        </w:rPr>
        <w:t>Akhirnya, berbeda dengan penelitian terdahulu sebagaiamana Jauhari dan Towaf</w:t>
      </w:r>
      <w:r w:rsidRPr="004D3474">
        <w:rPr>
          <w:rStyle w:val="FootnoteReference"/>
          <w:rFonts w:ascii="Cambria" w:hAnsi="Cambria"/>
        </w:rPr>
        <w:footnoteReference w:id="43"/>
      </w:r>
      <w:r w:rsidRPr="004D3474">
        <w:rPr>
          <w:rFonts w:ascii="Cambria" w:hAnsi="Cambria"/>
        </w:rPr>
        <w:t xml:space="preserve"> yang menitikberatkan pada perkembangan pesantren dalam kajian literatur, penelitian Salim</w:t>
      </w:r>
      <w:r w:rsidRPr="004D3474">
        <w:rPr>
          <w:rStyle w:val="FootnoteReference"/>
          <w:rFonts w:ascii="Cambria" w:hAnsi="Cambria"/>
        </w:rPr>
        <w:footnoteReference w:id="44"/>
      </w:r>
      <w:r w:rsidRPr="004D3474">
        <w:rPr>
          <w:rFonts w:ascii="Cambria" w:hAnsi="Cambria"/>
        </w:rPr>
        <w:t xml:space="preserve"> yang memfokuskan konstruksi sosial gender dalam kerangka struktural fungsional, serta penelitian Kurniawati dan Muafiah</w:t>
      </w:r>
      <w:r w:rsidRPr="004D3474">
        <w:rPr>
          <w:rStyle w:val="FootnoteReference"/>
          <w:rFonts w:ascii="Cambria" w:hAnsi="Cambria"/>
        </w:rPr>
        <w:footnoteReference w:id="45"/>
      </w:r>
      <w:r w:rsidRPr="004D3474">
        <w:rPr>
          <w:rFonts w:ascii="Cambria" w:hAnsi="Cambria"/>
        </w:rPr>
        <w:t xml:space="preserve"> maupun Malihah</w:t>
      </w:r>
      <w:r w:rsidRPr="004D3474">
        <w:rPr>
          <w:rStyle w:val="FootnoteReference"/>
          <w:rFonts w:ascii="Cambria" w:hAnsi="Cambria"/>
        </w:rPr>
        <w:footnoteReference w:id="46"/>
      </w:r>
      <w:r w:rsidRPr="004D3474">
        <w:rPr>
          <w:rFonts w:ascii="Cambria" w:hAnsi="Cambria"/>
        </w:rPr>
        <w:t xml:space="preserve"> yang lebih menyoroti implementasi nilai kesetaraan gender dan pemberdayaan perempuan dalam aktivitas pesantren, kajian ini memposisikan diri pada analisis halaqah fikih peradaban sebagai instrumen transformasi pemikiran pesantren terhadap isu kesetaraan gender di Jawa Timur. Research gap penelitian ini terletak pada belum adanya kajian yang secara spesifik membahas realisasi halaqah fikih </w:t>
      </w:r>
      <w:r w:rsidRPr="00B76C58">
        <w:rPr>
          <w:rFonts w:ascii="Cambria" w:hAnsi="Cambria" w:cstheme="majorBidi"/>
          <w:lang w:val="sv-SE"/>
        </w:rPr>
        <w:t>peradaban</w:t>
      </w:r>
      <w:r w:rsidRPr="004D3474">
        <w:rPr>
          <w:rFonts w:ascii="Cambria" w:hAnsi="Cambria"/>
        </w:rPr>
        <w:t xml:space="preserve"> berbasis kesetaraan gender sebagai pendekatan metodologis dalam membangun kultur pesantren yang inklusif, partisipatif, dan responsif terhadap dinamika sosial kontemporer. Dengan demikian, penelitian ini tidak sekadar mengulang pembahasan mengenai pesantren dan gender, melainkan menempatkan halaqah fikih peradaban sebagai ruang produksi pengetahuan dan transformasi sosial-keagamaan di lingkungan pesantren.</w:t>
      </w:r>
    </w:p>
    <w:p w14:paraId="60424E08" w14:textId="77777777" w:rsidR="00B76C58" w:rsidRPr="004D3474" w:rsidRDefault="00B76C58" w:rsidP="00B76C58">
      <w:pPr>
        <w:ind w:firstLine="720"/>
        <w:rPr>
          <w:rFonts w:ascii="Cambria" w:hAnsi="Cambria"/>
        </w:rPr>
      </w:pPr>
      <w:r w:rsidRPr="004D3474">
        <w:rPr>
          <w:rFonts w:ascii="Cambria" w:hAnsi="Cambria"/>
        </w:rPr>
        <w:t xml:space="preserve">Melalui posisi tersebut, penelitian ini secara eksplisit diarahkan untuk menjawab bagaimana respon pondok pesantren di Jawa Timur terhadap isu kesetaraan gender, bagaimana realisasi halaqah fikih peradaban berbasis kesetaraan gender, serta bagaimana implikasinya terhadap pembentukan karakter dan keilmuan santri yang lebih adil dan inklusif. Hasil penelitian menunjukkan bahwa Pondok Pesantren Darunnajah Tulungagung, Pondok Pesantren Bahrul Ulum Tambakberas Jombang, dan Pondok Pesantren Al Kamal Blitar memiliki komitmen dalam mendukung keadilan gender melalui pendekatan yang berbeda-beda, mulai dari pembangunan kesadaran kesetaraan gender di lingkungan pesantren, perancangan </w:t>
      </w:r>
      <w:r w:rsidRPr="00B76C58">
        <w:rPr>
          <w:rFonts w:ascii="Cambria" w:hAnsi="Cambria" w:cstheme="majorBidi"/>
          <w:lang w:val="sv-SE"/>
        </w:rPr>
        <w:t>kurikulum</w:t>
      </w:r>
      <w:r w:rsidRPr="004D3474">
        <w:rPr>
          <w:rFonts w:ascii="Cambria" w:hAnsi="Cambria"/>
        </w:rPr>
        <w:t xml:space="preserve"> berbasis kesetaraan gender, hingga restrukturisasi pendidikan dan kegiatan kepesantrenan dengan perspektif gender. Temuan ini </w:t>
      </w:r>
      <w:r w:rsidRPr="004D3474">
        <w:rPr>
          <w:rFonts w:ascii="Cambria" w:hAnsi="Cambria"/>
        </w:rPr>
        <w:lastRenderedPageBreak/>
        <w:t>memperlihatkan bahwa pesantren tidak hanya menjadi ruang transmisi keilmuan keagamaan, tetapi juga berperan aktif dalam membangun kultur pendidikan Islam yang inklusif dan responsif terhadap dinamika sosial kontemporer.</w:t>
      </w:r>
    </w:p>
    <w:p w14:paraId="3F5229AF" w14:textId="6AB86537" w:rsidR="00B76C58" w:rsidRDefault="00B76C58" w:rsidP="00B76C58">
      <w:pPr>
        <w:ind w:firstLine="720"/>
        <w:rPr>
          <w:rFonts w:ascii="Cambria" w:hAnsi="Cambria"/>
        </w:rPr>
      </w:pPr>
      <w:r w:rsidRPr="004D3474">
        <w:rPr>
          <w:rFonts w:ascii="Cambria" w:hAnsi="Cambria"/>
        </w:rPr>
        <w:t>Selain itu, realisasi halaqah fikih peradaban berbasis kesetaraan gender di ketiga pesantren tersebut menunjukkan adanya integrasi nilai-nilai keadilan gender dalam pendidikan, forum ilmiah, aktivitas santri, hingga kajian kitab yang berbasis pemberdayaan dan partisipasi setara antara laki-laki dan perempuan. Implikasi dari proses tersebut tampak pada terbentuknya karakter santri dan civitas pesantren yang lebih inklusif, terbukanya pola pikir keilmuan yang responsif terhadap isu gender, serta lahirnya pola kehidupan sosial pesantren yang lebih berkeadilan. Dengan demikian, penelitian ini menegaskan bahwa halaqah fikih peradaban tidak hanya berfungsi sebagai forum kajian keagamaan, tetapi juga sebagai instrumen transformasi sosial-keagamaan dalam mewujudkan pesantren yang adaptif, berkeadilan gender, dan mampu berkontribusi dalam pembentukan masyarakat yang lebih setara.</w:t>
      </w:r>
    </w:p>
    <w:p w14:paraId="7AA4F0A1" w14:textId="7C12922E" w:rsidR="00BA067B" w:rsidRPr="00BD02A7" w:rsidRDefault="006E6809" w:rsidP="00BA067B">
      <w:pPr>
        <w:pStyle w:val="Heading1"/>
        <w:numPr>
          <w:ilvl w:val="0"/>
          <w:numId w:val="0"/>
        </w:numPr>
        <w:spacing w:before="3"/>
        <w:rPr>
          <w:b w:val="0"/>
          <w:bCs w:val="0"/>
          <w:szCs w:val="24"/>
        </w:rPr>
      </w:pPr>
      <w:r>
        <w:rPr>
          <w:szCs w:val="24"/>
        </w:rPr>
        <w:t>KESIMPULAN</w:t>
      </w:r>
    </w:p>
    <w:p w14:paraId="7CE34E18" w14:textId="5E82DE67" w:rsidR="00BA067B" w:rsidRPr="00BD02A7" w:rsidRDefault="00B76C58" w:rsidP="00303B38">
      <w:pPr>
        <w:ind w:firstLine="720"/>
        <w:rPr>
          <w:rFonts w:ascii="Cambria" w:hAnsi="Cambria"/>
        </w:rPr>
      </w:pPr>
      <w:r w:rsidRPr="004D3474">
        <w:rPr>
          <w:rFonts w:ascii="Cambria" w:hAnsi="Cambria"/>
        </w:rPr>
        <w:t xml:space="preserve">Respon pondok pesantren di Jawa Timur terhadap isu kesetaraan gender menunjukkan adanya dukungan terhadap keadilan gender melalui berbagai pendekatan. </w:t>
      </w:r>
      <w:r>
        <w:rPr>
          <w:rFonts w:ascii="Cambria" w:hAnsi="Cambria"/>
        </w:rPr>
        <w:t>Bentuk respon ini merupakan</w:t>
      </w:r>
      <w:r w:rsidRPr="004D3474">
        <w:rPr>
          <w:rFonts w:ascii="Cambria" w:hAnsi="Cambria"/>
        </w:rPr>
        <w:t xml:space="preserve"> upaya </w:t>
      </w:r>
      <w:r>
        <w:rPr>
          <w:rFonts w:ascii="Cambria" w:hAnsi="Cambria"/>
        </w:rPr>
        <w:t>yang</w:t>
      </w:r>
      <w:r w:rsidRPr="004D3474">
        <w:rPr>
          <w:rFonts w:ascii="Cambria" w:hAnsi="Cambria"/>
        </w:rPr>
        <w:t xml:space="preserve"> mencerminkan langkah konkret dalam menciptakan lingkungan pesantren yang inkl</w:t>
      </w:r>
      <w:r>
        <w:rPr>
          <w:rFonts w:ascii="Cambria" w:hAnsi="Cambria"/>
        </w:rPr>
        <w:t xml:space="preserve">usif dan adil bagi semua pihak. </w:t>
      </w:r>
      <w:r w:rsidRPr="004D3474">
        <w:rPr>
          <w:rFonts w:ascii="Cambria" w:hAnsi="Cambria"/>
        </w:rPr>
        <w:t>Realisasi halaqah fikih peradaban berbasis kesetaraan gender di pondok pesantren Jawa Timur menunjukkan upaya yang nyata dalam mengintegrasikan prinsip-prinsip kesetaraan dalam berbagai aspek pendidikan Islam. Dengan pendekatan ini, pondok pesantren di Jawa Timur secara keseluruhan berupaya menciptakan lingkungan pendidikan yang inklusif dan memberdayakan, serta berkontribusi pada pembentukan peradaban yang lebih adil dan setara.</w:t>
      </w:r>
      <w:r>
        <w:rPr>
          <w:rFonts w:ascii="Cambria" w:hAnsi="Cambria"/>
        </w:rPr>
        <w:t xml:space="preserve"> </w:t>
      </w:r>
      <w:r w:rsidRPr="004D3474">
        <w:rPr>
          <w:rFonts w:ascii="Cambria" w:hAnsi="Cambria"/>
        </w:rPr>
        <w:t>Implikasi dari pelaksanaan halaqah fikih peradaban berbasis kesetaraan gender di pondok pesantren Jawa Timur memiliki signifikansi dalam membentuk karakter santri dan civitas pesantren yang mengedepankan nilai-nilai keadilan gender. Keseluruhan implikasi ini mencerminkan perubahan positif di dalam pondok pesantren, di mana pendidikan berbasis fikih peradaban kesetaraan gender mampu melahirkan generasi santri yang adil, inklusif, dan siap berkontribusi dalam masyarakat yang lebih setara.</w:t>
      </w:r>
    </w:p>
    <w:p w14:paraId="2B5802B7" w14:textId="5BB8B423" w:rsidR="00BA067B" w:rsidRPr="00BD02A7" w:rsidRDefault="00BA067B" w:rsidP="00303B38">
      <w:pPr>
        <w:rPr>
          <w:rFonts w:ascii="Cambria" w:eastAsia="Times New Roman" w:hAnsi="Cambria" w:cstheme="majorBidi"/>
          <w:lang w:eastAsia="en-ID"/>
        </w:rPr>
      </w:pPr>
    </w:p>
    <w:p w14:paraId="3D18FF2F" w14:textId="77777777" w:rsidR="00303B38" w:rsidRDefault="00303B38" w:rsidP="00303B38">
      <w:pPr>
        <w:pStyle w:val="Heading1"/>
        <w:numPr>
          <w:ilvl w:val="0"/>
          <w:numId w:val="0"/>
        </w:numPr>
        <w:spacing w:before="3"/>
        <w:rPr>
          <w:rFonts w:eastAsia="Calibri" w:cs="Naskhi"/>
          <w:szCs w:val="24"/>
          <w:lang w:val="id-ID"/>
        </w:rPr>
      </w:pPr>
      <w:r w:rsidRPr="00BD02A7">
        <w:rPr>
          <w:szCs w:val="24"/>
        </w:rPr>
        <w:lastRenderedPageBreak/>
        <w:t>DAFTAR</w:t>
      </w:r>
      <w:r w:rsidRPr="00BD02A7">
        <w:rPr>
          <w:rFonts w:eastAsia="Calibri" w:cs="Naskhi"/>
          <w:szCs w:val="24"/>
          <w:lang w:val="id-ID"/>
        </w:rPr>
        <w:t xml:space="preserve"> PUSTAKA</w:t>
      </w:r>
    </w:p>
    <w:p w14:paraId="25ECF917" w14:textId="24796C9C" w:rsidR="00B76C58" w:rsidRPr="00884645" w:rsidRDefault="006E6809" w:rsidP="00B76C58">
      <w:pPr>
        <w:widowControl w:val="0"/>
        <w:autoSpaceDE w:val="0"/>
        <w:autoSpaceDN w:val="0"/>
        <w:adjustRightInd w:val="0"/>
        <w:spacing w:line="240" w:lineRule="auto"/>
        <w:ind w:left="480" w:hanging="480"/>
        <w:rPr>
          <w:rFonts w:ascii="Cambria" w:hAnsi="Cambria" w:cs="Times New Roman"/>
          <w:noProof/>
        </w:rPr>
      </w:pPr>
      <w:r w:rsidRPr="00BB274E">
        <w:rPr>
          <w:rFonts w:ascii="Cambria" w:eastAsia="Cambria" w:hAnsi="Cambria" w:cs="Cambria"/>
          <w:color w:val="000000"/>
          <w:lang w:val="id-ID"/>
        </w:rPr>
        <w:fldChar w:fldCharType="begin"/>
      </w:r>
      <w:r>
        <w:rPr>
          <w:rFonts w:ascii="Cambria" w:eastAsia="Cambria" w:hAnsi="Cambria" w:cs="Cambria"/>
          <w:color w:val="000000"/>
          <w:lang w:val="id-ID"/>
        </w:rPr>
        <w:instrText xml:space="preserve"> ADDIN ZOTERO_BIBL {"uncited":[],"omitted":[],"custom":[]} CSL_BIBLIOGRAPHY </w:instrText>
      </w:r>
      <w:r w:rsidRPr="00BB274E">
        <w:rPr>
          <w:rFonts w:ascii="Cambria" w:eastAsia="Cambria" w:hAnsi="Cambria" w:cs="Cambria"/>
          <w:color w:val="000000"/>
          <w:lang w:val="id-ID"/>
        </w:rPr>
        <w:fldChar w:fldCharType="separate"/>
      </w:r>
      <w:r w:rsidR="00B76C58" w:rsidRPr="00884645">
        <w:rPr>
          <w:rFonts w:ascii="Cambria" w:hAnsi="Cambria" w:cs="Times New Roman"/>
          <w:noProof/>
        </w:rPr>
        <w:t xml:space="preserve">Abdurrahman Wahid. </w:t>
      </w:r>
      <w:r w:rsidR="00B76C58" w:rsidRPr="00884645">
        <w:rPr>
          <w:rFonts w:ascii="Cambria" w:hAnsi="Cambria" w:cs="Times New Roman"/>
          <w:i/>
          <w:iCs/>
          <w:noProof/>
        </w:rPr>
        <w:t>Pondok Pesantren Masa Depan, Dalam Pesantren Masa Depan: Wacana Pemberdayaan Dan Tansformasi Pesantren</w:t>
      </w:r>
      <w:r w:rsidR="00B76C58" w:rsidRPr="00884645">
        <w:rPr>
          <w:rFonts w:ascii="Cambria" w:hAnsi="Cambria" w:cs="Times New Roman"/>
          <w:noProof/>
        </w:rPr>
        <w:t>. Jakarta: Pustaka Hidayah, 1999.</w:t>
      </w:r>
    </w:p>
    <w:p w14:paraId="0F1CAE2B"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Ahmad Muhtadi Anshor. “The Making Of Single Parent Resilience In Post-Covid-19 Pandemic In Indonesia: A Maqashid Al-Syari’ah Approach.” </w:t>
      </w:r>
      <w:r w:rsidRPr="00884645">
        <w:rPr>
          <w:rFonts w:ascii="Cambria" w:hAnsi="Cambria" w:cs="Times New Roman"/>
          <w:i/>
          <w:iCs/>
          <w:noProof/>
        </w:rPr>
        <w:t>Episteme: Jurnal Pengembangan Ilmu Keislaman</w:t>
      </w:r>
      <w:r w:rsidRPr="00884645">
        <w:rPr>
          <w:rFonts w:ascii="Cambria" w:hAnsi="Cambria" w:cs="Times New Roman"/>
          <w:noProof/>
        </w:rPr>
        <w:t xml:space="preserve"> 18, no. 1 (2023). https://doi.org/10.21274/epis.2023.18.1.27-49.</w:t>
      </w:r>
    </w:p>
    <w:p w14:paraId="5A524DAF"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Ahmad Muhtadi Anshor &amp; Muhammad Ngizzul Muttaqin. “Fiqih Emansipasi: Menguatkan Kembali Posisi Perempuan Dalam Keluarga.” </w:t>
      </w:r>
      <w:r w:rsidRPr="00884645">
        <w:rPr>
          <w:rFonts w:ascii="Cambria" w:hAnsi="Cambria" w:cs="Times New Roman"/>
          <w:i/>
          <w:iCs/>
          <w:noProof/>
        </w:rPr>
        <w:t>Islamadina: Jurnal Pemikiran Islam</w:t>
      </w:r>
      <w:r w:rsidRPr="00884645">
        <w:rPr>
          <w:rFonts w:ascii="Cambria" w:hAnsi="Cambria" w:cs="Times New Roman"/>
          <w:noProof/>
        </w:rPr>
        <w:t xml:space="preserve"> 24, no. 2 (2023).</w:t>
      </w:r>
    </w:p>
    <w:p w14:paraId="227B16E8"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Akhmad Arif Junaidi. “Kongres Ulama Perempuan Indonesia (KUPI) and Mubādalah Approach in Interpreting the Gender Biased Qur’anic Verses.” </w:t>
      </w:r>
      <w:r w:rsidRPr="00884645">
        <w:rPr>
          <w:rFonts w:ascii="Cambria" w:hAnsi="Cambria" w:cs="Times New Roman"/>
          <w:i/>
          <w:iCs/>
          <w:noProof/>
        </w:rPr>
        <w:t>SAWWA: Jurnal Studi Gender</w:t>
      </w:r>
      <w:r w:rsidRPr="00884645">
        <w:rPr>
          <w:rFonts w:ascii="Cambria" w:hAnsi="Cambria" w:cs="Times New Roman"/>
          <w:noProof/>
        </w:rPr>
        <w:t xml:space="preserve"> 18, no. 1 (2023): 1–24.</w:t>
      </w:r>
    </w:p>
    <w:p w14:paraId="672A7E12"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Alimatul Qibtiyah. “Mapping of Muslims Understandings on Gender Issues in Islam At Six Universities in Yogyakarta, Indonesia.” </w:t>
      </w:r>
      <w:r w:rsidRPr="00884645">
        <w:rPr>
          <w:rFonts w:ascii="Cambria" w:hAnsi="Cambria" w:cs="Times New Roman"/>
          <w:i/>
          <w:iCs/>
          <w:noProof/>
        </w:rPr>
        <w:t>Al-Jami’ah: Journal of Islamic Studies</w:t>
      </w:r>
      <w:r w:rsidRPr="00884645">
        <w:rPr>
          <w:rFonts w:ascii="Cambria" w:hAnsi="Cambria" w:cs="Times New Roman"/>
          <w:noProof/>
        </w:rPr>
        <w:t xml:space="preserve"> 56, no. 2 (2018).</w:t>
      </w:r>
    </w:p>
    <w:p w14:paraId="643376CB"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Andrew J. Martin, Brad Papworth &amp; Gregory Arief D. Liem. “Boarding School, Academic Motivation and Engagement, and Psychological Well-Being: A Large-Scale Investigation.” </w:t>
      </w:r>
      <w:r w:rsidRPr="00884645">
        <w:rPr>
          <w:rFonts w:ascii="Cambria" w:hAnsi="Cambria" w:cs="Times New Roman"/>
          <w:i/>
          <w:iCs/>
          <w:noProof/>
        </w:rPr>
        <w:t>American Educational Research Journal</w:t>
      </w:r>
      <w:r w:rsidRPr="00884645">
        <w:rPr>
          <w:rFonts w:ascii="Cambria" w:hAnsi="Cambria" w:cs="Times New Roman"/>
          <w:noProof/>
        </w:rPr>
        <w:t xml:space="preserve"> 57, no. 5 (2014).</w:t>
      </w:r>
    </w:p>
    <w:p w14:paraId="2561260F"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Ani Kurniawati &amp; Evi Muafiah. “Kesetaraan Dan Keadilan Gender Dalam Lingkungan Pesantren.” </w:t>
      </w:r>
      <w:r w:rsidRPr="00884645">
        <w:rPr>
          <w:rFonts w:ascii="Cambria" w:hAnsi="Cambria" w:cs="Times New Roman"/>
          <w:i/>
          <w:iCs/>
          <w:noProof/>
        </w:rPr>
        <w:t>Excelencia: Journal of Islamic Education &amp; Management</w:t>
      </w:r>
      <w:r w:rsidRPr="00884645">
        <w:rPr>
          <w:rFonts w:ascii="Cambria" w:hAnsi="Cambria" w:cs="Times New Roman"/>
          <w:noProof/>
        </w:rPr>
        <w:t xml:space="preserve"> 3, no. 1 (2023).</w:t>
      </w:r>
    </w:p>
    <w:p w14:paraId="1AFDDEE6"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Asmawi. “Murunah Ijtihad Jam’iyyah Nahdah Al-Ulama: Min Fiqh Al-Hadarah Ila Din Al-Ishrin.” </w:t>
      </w:r>
      <w:r w:rsidRPr="00884645">
        <w:rPr>
          <w:rFonts w:ascii="Cambria" w:hAnsi="Cambria" w:cs="Times New Roman"/>
          <w:i/>
          <w:iCs/>
          <w:noProof/>
        </w:rPr>
        <w:t>Journal of Indonesian Islam</w:t>
      </w:r>
      <w:r w:rsidRPr="00884645">
        <w:rPr>
          <w:rFonts w:ascii="Cambria" w:hAnsi="Cambria" w:cs="Times New Roman"/>
          <w:noProof/>
        </w:rPr>
        <w:t xml:space="preserve"> 17, no. 1 (2023).</w:t>
      </w:r>
    </w:p>
    <w:p w14:paraId="185CE20B"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Busyro. “Female Imam and Khatib: The Progressive Tradition of Gender-Responsive Practices in Balingka, West Sumatera.” </w:t>
      </w:r>
      <w:r w:rsidRPr="00884645">
        <w:rPr>
          <w:rFonts w:ascii="Cambria" w:hAnsi="Cambria" w:cs="Times New Roman"/>
          <w:i/>
          <w:iCs/>
          <w:noProof/>
        </w:rPr>
        <w:t>Journal of Indonesian Islam</w:t>
      </w:r>
      <w:r w:rsidRPr="00884645">
        <w:rPr>
          <w:rFonts w:ascii="Cambria" w:hAnsi="Cambria" w:cs="Times New Roman"/>
          <w:noProof/>
        </w:rPr>
        <w:t xml:space="preserve"> 11, no. 2 (2017): 537.</w:t>
      </w:r>
    </w:p>
    <w:p w14:paraId="3E587439"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D’Jam’an Satori. </w:t>
      </w:r>
      <w:r w:rsidRPr="00884645">
        <w:rPr>
          <w:rFonts w:ascii="Cambria" w:hAnsi="Cambria" w:cs="Times New Roman"/>
          <w:i/>
          <w:iCs/>
          <w:noProof/>
        </w:rPr>
        <w:t>Metode Penelitian Kualitatif</w:t>
      </w:r>
      <w:r w:rsidRPr="00884645">
        <w:rPr>
          <w:rFonts w:ascii="Cambria" w:hAnsi="Cambria" w:cs="Times New Roman"/>
          <w:noProof/>
        </w:rPr>
        <w:t>. Bandung: Alfabeta, 2011.</w:t>
      </w:r>
    </w:p>
    <w:p w14:paraId="626F7955"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E. Malihah, S. Nurbayani, Wilodati, PWulandari, M.F. Husaeni, R. Hartono, S.B. Agista, S.A. Rahmah, &amp; Y.A. Kesumah. “Islamic Boarding School Based on Women’s Empowerment and Equality.” </w:t>
      </w:r>
      <w:r w:rsidRPr="00884645">
        <w:rPr>
          <w:rFonts w:ascii="Cambria" w:hAnsi="Cambria" w:cs="Times New Roman"/>
          <w:i/>
          <w:iCs/>
          <w:noProof/>
        </w:rPr>
        <w:t>Komunitas: International Journal of Indonesian Society and Culture</w:t>
      </w:r>
      <w:r w:rsidRPr="00884645">
        <w:rPr>
          <w:rFonts w:ascii="Cambria" w:hAnsi="Cambria" w:cs="Times New Roman"/>
          <w:noProof/>
        </w:rPr>
        <w:t xml:space="preserve"> 15, no. 1 (2023).</w:t>
      </w:r>
    </w:p>
    <w:p w14:paraId="698EAEC8"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Fatimatuz Zahro. “811 Kasus Kekerasan Terhadap Perempuan Terjadi Di Jatim Selama 2022, Khofifah Sediakan Hotline 129.” </w:t>
      </w:r>
      <w:r w:rsidRPr="00884645">
        <w:rPr>
          <w:rFonts w:ascii="Cambria" w:hAnsi="Cambria" w:cs="Times New Roman"/>
          <w:i/>
          <w:iCs/>
          <w:noProof/>
        </w:rPr>
        <w:t>Surabaya.Tribunnews.Com, 19 Mei</w:t>
      </w:r>
      <w:r w:rsidRPr="00884645">
        <w:rPr>
          <w:rFonts w:ascii="Cambria" w:hAnsi="Cambria" w:cs="Times New Roman"/>
          <w:noProof/>
        </w:rPr>
        <w:t>, 2023. https://surabaya.tribunnews.com/2023/05/19/811-kasus-kekerasan-terhadap-perempuan-terjadi-di-jatim-selama-2022-khofifah-sediakan-hotline-129.</w:t>
      </w:r>
    </w:p>
    <w:p w14:paraId="21D426FE"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Iffatin Nur, Syahrul Adam, M. Ngizzul Muttaqien. “Maqasid Al-Shari’at: The Main Reference and Ethical Spiritual Foundation for the Dynamization Process of Islamic Law.” </w:t>
      </w:r>
      <w:r w:rsidRPr="00884645">
        <w:rPr>
          <w:rFonts w:ascii="Cambria" w:hAnsi="Cambria" w:cs="Times New Roman"/>
          <w:i/>
          <w:iCs/>
          <w:noProof/>
        </w:rPr>
        <w:t>Ahkam: Jurnal Ilmu Syariah</w:t>
      </w:r>
      <w:r w:rsidRPr="00884645">
        <w:rPr>
          <w:rFonts w:ascii="Cambria" w:hAnsi="Cambria" w:cs="Times New Roman"/>
          <w:noProof/>
        </w:rPr>
        <w:t xml:space="preserve"> 20, no. 2 (2020). https://doi.org/10.15408/ajis.v20i2.18333.</w:t>
      </w:r>
    </w:p>
    <w:p w14:paraId="62E8AD2C"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Iffatin Nur. “In the Name of Public Interest We Evict? (Re-Actualizing the Standing Position of Proletarian Jurisprudence to the Marginalized).” </w:t>
      </w:r>
      <w:r w:rsidRPr="00884645">
        <w:rPr>
          <w:rFonts w:ascii="Cambria" w:hAnsi="Cambria" w:cs="Times New Roman"/>
          <w:i/>
          <w:iCs/>
          <w:noProof/>
        </w:rPr>
        <w:t>Saudi Journal of Humanities and Social Sciences</w:t>
      </w:r>
      <w:r w:rsidRPr="00884645">
        <w:rPr>
          <w:rFonts w:ascii="Cambria" w:hAnsi="Cambria" w:cs="Times New Roman"/>
          <w:noProof/>
        </w:rPr>
        <w:t xml:space="preserve"> 5, no. 2 (2020): 28.</w:t>
      </w:r>
    </w:p>
    <w:p w14:paraId="13485517"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Iffatin Nur &amp; Muhammad Ngizzul Muttaqin. “Reformulating The Concept of Maṣlaḥah: From A Textual Confinement Towards A Logic Determination.” </w:t>
      </w:r>
      <w:r w:rsidRPr="00884645">
        <w:rPr>
          <w:rFonts w:ascii="Cambria" w:hAnsi="Cambria" w:cs="Times New Roman"/>
          <w:i/>
          <w:iCs/>
          <w:noProof/>
        </w:rPr>
        <w:t>Justicia Islamica Jurnal Kajian Hukum Dan Sosial</w:t>
      </w:r>
      <w:r w:rsidRPr="00884645">
        <w:rPr>
          <w:rFonts w:ascii="Cambria" w:hAnsi="Cambria" w:cs="Times New Roman"/>
          <w:noProof/>
        </w:rPr>
        <w:t xml:space="preserve"> 17, no. 1 (2020).</w:t>
      </w:r>
    </w:p>
    <w:p w14:paraId="58F5209B"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Jamal Ma’mur Asmani. “Fiqih Sosial Kiai Sahal Sebagai Fiqih Peradaban.” </w:t>
      </w:r>
      <w:r w:rsidRPr="00884645">
        <w:rPr>
          <w:rFonts w:ascii="Cambria" w:hAnsi="Cambria" w:cs="Times New Roman"/>
          <w:i/>
          <w:iCs/>
          <w:noProof/>
        </w:rPr>
        <w:t>Al-Ahkam: Jurnal Pemikiran Hukum Islam</w:t>
      </w:r>
      <w:r w:rsidRPr="00884645">
        <w:rPr>
          <w:rFonts w:ascii="Cambria" w:hAnsi="Cambria" w:cs="Times New Roman"/>
          <w:noProof/>
        </w:rPr>
        <w:t xml:space="preserve"> 24, no. 1 (2014): 44.</w:t>
      </w:r>
    </w:p>
    <w:p w14:paraId="4EF0BE90"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Jaru Arbain, Nur Azizah, Ika Novita Sari. “Pemikiran Gender Menurut Para AhliI: </w:t>
      </w:r>
      <w:r w:rsidRPr="00884645">
        <w:rPr>
          <w:rFonts w:ascii="Cambria" w:hAnsi="Cambria" w:cs="Times New Roman"/>
          <w:noProof/>
        </w:rPr>
        <w:lastRenderedPageBreak/>
        <w:t xml:space="preserve">Telaah Atas Pemikiran Amina Wadud Muhsin, Asghar Ali Engineer, Dan Mansour Fakih.” </w:t>
      </w:r>
      <w:r w:rsidRPr="00884645">
        <w:rPr>
          <w:rFonts w:ascii="Cambria" w:hAnsi="Cambria" w:cs="Times New Roman"/>
          <w:i/>
          <w:iCs/>
          <w:noProof/>
        </w:rPr>
        <w:t>SAWWA: Jurnal Studi Gender</w:t>
      </w:r>
      <w:r w:rsidRPr="00884645">
        <w:rPr>
          <w:rFonts w:ascii="Cambria" w:hAnsi="Cambria" w:cs="Times New Roman"/>
          <w:noProof/>
        </w:rPr>
        <w:t xml:space="preserve"> 11, no. 1 (2015): 75–76.</w:t>
      </w:r>
    </w:p>
    <w:p w14:paraId="04CB7581"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Jasser Auda. </w:t>
      </w:r>
      <w:r w:rsidRPr="00884645">
        <w:rPr>
          <w:rFonts w:ascii="Cambria" w:hAnsi="Cambria" w:cs="Times New Roman"/>
          <w:i/>
          <w:iCs/>
          <w:noProof/>
        </w:rPr>
        <w:t>Maqasid Al-Shariah as Philosophy of Islamic Law: A Systems Approach</w:t>
      </w:r>
      <w:r w:rsidRPr="00884645">
        <w:rPr>
          <w:rFonts w:ascii="Cambria" w:hAnsi="Cambria" w:cs="Times New Roman"/>
          <w:noProof/>
        </w:rPr>
        <w:t>. London: the International Institut of Islamic Thougth, 2007.</w:t>
      </w:r>
    </w:p>
    <w:p w14:paraId="0C678B84"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Joko Sayono. “Perkembangan Pesantren Di Jawa Timur (1900-1942).” </w:t>
      </w:r>
      <w:r w:rsidRPr="00884645">
        <w:rPr>
          <w:rFonts w:ascii="Cambria" w:hAnsi="Cambria" w:cs="Times New Roman"/>
          <w:i/>
          <w:iCs/>
          <w:noProof/>
        </w:rPr>
        <w:t>Bahasa Dan Seni</w:t>
      </w:r>
      <w:r w:rsidRPr="00884645">
        <w:rPr>
          <w:rFonts w:ascii="Cambria" w:hAnsi="Cambria" w:cs="Times New Roman"/>
          <w:noProof/>
        </w:rPr>
        <w:t xml:space="preserve"> 33, no. 1 (2005).</w:t>
      </w:r>
    </w:p>
    <w:p w14:paraId="7B5FFC86"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Lexy J. Meleong. </w:t>
      </w:r>
      <w:r w:rsidRPr="00884645">
        <w:rPr>
          <w:rFonts w:ascii="Cambria" w:hAnsi="Cambria" w:cs="Times New Roman"/>
          <w:i/>
          <w:iCs/>
          <w:noProof/>
        </w:rPr>
        <w:t>Metode Penelitian Kualitatif</w:t>
      </w:r>
      <w:r w:rsidRPr="00884645">
        <w:rPr>
          <w:rFonts w:ascii="Cambria" w:hAnsi="Cambria" w:cs="Times New Roman"/>
          <w:noProof/>
        </w:rPr>
        <w:t>. Bandung: Remaja Rosdakarya, 1996.</w:t>
      </w:r>
    </w:p>
    <w:p w14:paraId="2C679C03"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Luthfi Salim. “Kontruksi Sosial Gender Di Pesantren Studi Kesenjangan Antara Laki-Laki Dengan Perempuan.” </w:t>
      </w:r>
      <w:r w:rsidRPr="00884645">
        <w:rPr>
          <w:rFonts w:ascii="Cambria" w:hAnsi="Cambria" w:cs="Times New Roman"/>
          <w:i/>
          <w:iCs/>
          <w:noProof/>
        </w:rPr>
        <w:t>Sosio Religia: Jurnal Sosiologi Agama</w:t>
      </w:r>
      <w:r w:rsidRPr="00884645">
        <w:rPr>
          <w:rFonts w:ascii="Cambria" w:hAnsi="Cambria" w:cs="Times New Roman"/>
          <w:noProof/>
        </w:rPr>
        <w:t xml:space="preserve"> 1, no. 2 (2020).</w:t>
      </w:r>
    </w:p>
    <w:p w14:paraId="1DD8F855"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Muhammad Ngizzul Muttaqin, Miftah Rosadi, Arif Nur’aini. “Fiqih Emansipatoris: Membangun Metodologi Fiqih Pembebasan Bagi Perempuan.” </w:t>
      </w:r>
      <w:r w:rsidRPr="00884645">
        <w:rPr>
          <w:rFonts w:ascii="Cambria" w:hAnsi="Cambria" w:cs="Times New Roman"/>
          <w:i/>
          <w:iCs/>
          <w:noProof/>
        </w:rPr>
        <w:t>Raheema: Jurnal Studi Gender Dan Anak</w:t>
      </w:r>
      <w:r w:rsidRPr="00884645">
        <w:rPr>
          <w:rFonts w:ascii="Cambria" w:hAnsi="Cambria" w:cs="Times New Roman"/>
          <w:noProof/>
        </w:rPr>
        <w:t xml:space="preserve"> 8, no. 2 (2021).</w:t>
      </w:r>
    </w:p>
    <w:p w14:paraId="27BB952B"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Mukhlis Latif, Muhammad Mutawalli, &amp; Zulhilmi Paidi. “Fiqh Peradaban and the Actualization of Religious and State Life in the Modern Society.” </w:t>
      </w:r>
      <w:r w:rsidRPr="00884645">
        <w:rPr>
          <w:rFonts w:ascii="Cambria" w:hAnsi="Cambria" w:cs="Times New Roman"/>
          <w:i/>
          <w:iCs/>
          <w:noProof/>
        </w:rPr>
        <w:t>Fikrah: Jurnal Ilmu Aqidah Dan Studi Keagamaan</w:t>
      </w:r>
      <w:r w:rsidRPr="00884645">
        <w:rPr>
          <w:rFonts w:ascii="Cambria" w:hAnsi="Cambria" w:cs="Times New Roman"/>
          <w:noProof/>
        </w:rPr>
        <w:t xml:space="preserve"> 11, no. 1 (2023).</w:t>
      </w:r>
    </w:p>
    <w:p w14:paraId="6256669D"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Naela Sofiana, Mochammad Najmul Afad, Nada Alfa Farah, Nur Fajariyah, &amp; Nur Hamid. “Women’s Boarding School: A Form of Gender Justice for Women Students.” </w:t>
      </w:r>
      <w:r w:rsidRPr="00884645">
        <w:rPr>
          <w:rFonts w:ascii="Cambria" w:hAnsi="Cambria" w:cs="Times New Roman"/>
          <w:i/>
          <w:iCs/>
          <w:noProof/>
        </w:rPr>
        <w:t>HUMANISMA: Journal of Gender Studies</w:t>
      </w:r>
      <w:r w:rsidRPr="00884645">
        <w:rPr>
          <w:rFonts w:ascii="Cambria" w:hAnsi="Cambria" w:cs="Times New Roman"/>
          <w:noProof/>
        </w:rPr>
        <w:t xml:space="preserve"> 7, no. 1 (2023).</w:t>
      </w:r>
    </w:p>
    <w:p w14:paraId="27AB86A1"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Najib Jauharia &amp; Siti Malikhah Towaf. “Kesetaraan Gender Di Pesantren Dalam Kajian Literatur.” </w:t>
      </w:r>
      <w:r w:rsidRPr="00884645">
        <w:rPr>
          <w:rFonts w:ascii="Cambria" w:hAnsi="Cambria" w:cs="Times New Roman"/>
          <w:i/>
          <w:iCs/>
          <w:noProof/>
        </w:rPr>
        <w:t>Sejarah Dan Budaya</w:t>
      </w:r>
      <w:r w:rsidRPr="00884645">
        <w:rPr>
          <w:rFonts w:ascii="Cambria" w:hAnsi="Cambria" w:cs="Times New Roman"/>
          <w:noProof/>
        </w:rPr>
        <w:t xml:space="preserve"> 13, no. 2 (2019).</w:t>
      </w:r>
    </w:p>
    <w:p w14:paraId="7A58900C"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Noeng Muhajir. </w:t>
      </w:r>
      <w:r w:rsidRPr="00884645">
        <w:rPr>
          <w:rFonts w:ascii="Cambria" w:hAnsi="Cambria" w:cs="Times New Roman"/>
          <w:i/>
          <w:iCs/>
          <w:noProof/>
        </w:rPr>
        <w:t>Metodologi Penelitian Kualitatif</w:t>
      </w:r>
      <w:r w:rsidRPr="00884645">
        <w:rPr>
          <w:rFonts w:ascii="Cambria" w:hAnsi="Cambria" w:cs="Times New Roman"/>
          <w:noProof/>
        </w:rPr>
        <w:t>. Yogyakarta: Roke Sasarin, 2013.</w:t>
      </w:r>
    </w:p>
    <w:p w14:paraId="329B1A17"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Patricia Jeffery &amp; Kaveri Qureshi. “Muslim Woman/Muslim Women: Lived Experiences beyond Religion and Gender in South Asia and Its Diasporas.” </w:t>
      </w:r>
      <w:r w:rsidRPr="00884645">
        <w:rPr>
          <w:rFonts w:ascii="Cambria" w:hAnsi="Cambria" w:cs="Times New Roman"/>
          <w:i/>
          <w:iCs/>
          <w:noProof/>
        </w:rPr>
        <w:t>Contemporary South Asia</w:t>
      </w:r>
      <w:r w:rsidRPr="00884645">
        <w:rPr>
          <w:rFonts w:ascii="Cambria" w:hAnsi="Cambria" w:cs="Times New Roman"/>
          <w:noProof/>
        </w:rPr>
        <w:t xml:space="preserve"> 30, no. 1 (2022). https://doi.org/10.1080/09584935.2021.2021859.</w:t>
      </w:r>
    </w:p>
    <w:p w14:paraId="0344B668"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Reza Fauzi Nazar. “Corak Pembaruan Pemikiran Hukum Islam Dalam Konsep ‘Fiqh Sosial’ K.H. Sahal Mahfudh.” </w:t>
      </w:r>
      <w:r w:rsidRPr="00884645">
        <w:rPr>
          <w:rFonts w:ascii="Cambria" w:hAnsi="Cambria" w:cs="Times New Roman"/>
          <w:i/>
          <w:iCs/>
          <w:noProof/>
        </w:rPr>
        <w:t>Asy-Syari’ah</w:t>
      </w:r>
      <w:r w:rsidRPr="00884645">
        <w:rPr>
          <w:rFonts w:ascii="Cambria" w:hAnsi="Cambria" w:cs="Times New Roman"/>
          <w:noProof/>
        </w:rPr>
        <w:t xml:space="preserve"> 23, no. 1 (2021).</w:t>
      </w:r>
    </w:p>
    <w:p w14:paraId="7E166348"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Rianto Nugroho. </w:t>
      </w:r>
      <w:r w:rsidRPr="00884645">
        <w:rPr>
          <w:rFonts w:ascii="Cambria" w:hAnsi="Cambria" w:cs="Times New Roman"/>
          <w:i/>
          <w:iCs/>
          <w:noProof/>
        </w:rPr>
        <w:t>Gender Dan Strategi Pengarusutamanya Di Indonesia</w:t>
      </w:r>
      <w:r w:rsidRPr="00884645">
        <w:rPr>
          <w:rFonts w:ascii="Cambria" w:hAnsi="Cambria" w:cs="Times New Roman"/>
          <w:noProof/>
        </w:rPr>
        <w:t>. Yogyakarta: Pustaka Pelajar, 2011.</w:t>
      </w:r>
    </w:p>
    <w:p w14:paraId="3BEBC781"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Ridwan Abdullah Sani. </w:t>
      </w:r>
      <w:r w:rsidRPr="00884645">
        <w:rPr>
          <w:rFonts w:ascii="Cambria" w:hAnsi="Cambria" w:cs="Times New Roman"/>
          <w:i/>
          <w:iCs/>
          <w:noProof/>
        </w:rPr>
        <w:t>Pendidikan Karakter Di Pesantren</w:t>
      </w:r>
      <w:r w:rsidRPr="00884645">
        <w:rPr>
          <w:rFonts w:ascii="Cambria" w:hAnsi="Cambria" w:cs="Times New Roman"/>
          <w:noProof/>
        </w:rPr>
        <w:t>. Bandung: Cipta Pustaka Media Perintis, 2012.</w:t>
      </w:r>
    </w:p>
    <w:p w14:paraId="5F51847E"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Rubén Gaztambide-Fernández. “What Is an Elite Boarding School?” </w:t>
      </w:r>
      <w:r w:rsidRPr="00884645">
        <w:rPr>
          <w:rFonts w:ascii="Cambria" w:hAnsi="Cambria" w:cs="Times New Roman"/>
          <w:i/>
          <w:iCs/>
          <w:noProof/>
        </w:rPr>
        <w:t>Review of Educational Research</w:t>
      </w:r>
      <w:r w:rsidRPr="00884645">
        <w:rPr>
          <w:rFonts w:ascii="Cambria" w:hAnsi="Cambria" w:cs="Times New Roman"/>
          <w:noProof/>
        </w:rPr>
        <w:t xml:space="preserve"> 79, no. 3 (2009).</w:t>
      </w:r>
    </w:p>
    <w:p w14:paraId="5554AD70"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Sihabussalam. “Diskursus Islam Dan Sains Dalam Peradaban Masyarakat Menuju Kaum Wasathiyah.” </w:t>
      </w:r>
      <w:r w:rsidRPr="00884645">
        <w:rPr>
          <w:rFonts w:ascii="Cambria" w:hAnsi="Cambria" w:cs="Times New Roman"/>
          <w:i/>
          <w:iCs/>
          <w:noProof/>
        </w:rPr>
        <w:t>Prosiding Konferensi Integrasi Interkoneksi Islam Dan Sains</w:t>
      </w:r>
      <w:r w:rsidRPr="00884645">
        <w:rPr>
          <w:rFonts w:ascii="Cambria" w:hAnsi="Cambria" w:cs="Times New Roman"/>
          <w:noProof/>
        </w:rPr>
        <w:t xml:space="preserve"> 2 (2020): 35.</w:t>
      </w:r>
    </w:p>
    <w:p w14:paraId="2C8E8F75"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Siti Nurjanah &amp; Iffatin Nur. “Gender Fiqh: Mobilization of Gender-Responsive Movement on Social Media.” </w:t>
      </w:r>
      <w:r w:rsidRPr="00884645">
        <w:rPr>
          <w:rFonts w:ascii="Cambria" w:hAnsi="Cambria" w:cs="Times New Roman"/>
          <w:i/>
          <w:iCs/>
          <w:noProof/>
        </w:rPr>
        <w:t>Ijtihad: Jurnal Wacana Hukum Islam Dan Kemanusiaan</w:t>
      </w:r>
      <w:r w:rsidRPr="00884645">
        <w:rPr>
          <w:rFonts w:ascii="Cambria" w:hAnsi="Cambria" w:cs="Times New Roman"/>
          <w:noProof/>
        </w:rPr>
        <w:t xml:space="preserve"> 22, no. 1 (2022). https://doi.org/10.18326/ijtihad.v22i1.1-18.</w:t>
      </w:r>
    </w:p>
    <w:p w14:paraId="74225950" w14:textId="77777777" w:rsidR="00B76C58" w:rsidRPr="00884645" w:rsidRDefault="00B76C58" w:rsidP="00B76C58">
      <w:pPr>
        <w:widowControl w:val="0"/>
        <w:autoSpaceDE w:val="0"/>
        <w:autoSpaceDN w:val="0"/>
        <w:adjustRightInd w:val="0"/>
        <w:spacing w:line="240" w:lineRule="auto"/>
        <w:ind w:left="480" w:hanging="480"/>
        <w:rPr>
          <w:rFonts w:ascii="Cambria" w:hAnsi="Cambria" w:cs="Times New Roman"/>
          <w:noProof/>
        </w:rPr>
      </w:pPr>
      <w:r w:rsidRPr="00884645">
        <w:rPr>
          <w:rFonts w:ascii="Cambria" w:hAnsi="Cambria" w:cs="Times New Roman"/>
          <w:noProof/>
        </w:rPr>
        <w:t xml:space="preserve">Siti Ruhaini Dzuhayatin. “Gender Glass Ceiling in Indonesia: Manifestation, Roots and Theological Breakthrough.” </w:t>
      </w:r>
      <w:r w:rsidRPr="00884645">
        <w:rPr>
          <w:rFonts w:ascii="Cambria" w:hAnsi="Cambria" w:cs="Times New Roman"/>
          <w:i/>
          <w:iCs/>
          <w:noProof/>
        </w:rPr>
        <w:t>Al-Jami’ah: Journal of Islamic Studiesmi‘ah: Journal of Islamic Studies</w:t>
      </w:r>
      <w:r w:rsidRPr="00884645">
        <w:rPr>
          <w:rFonts w:ascii="Cambria" w:hAnsi="Cambria" w:cs="Times New Roman"/>
          <w:noProof/>
        </w:rPr>
        <w:t xml:space="preserve"> 58, no. 1 (2020).</w:t>
      </w:r>
    </w:p>
    <w:p w14:paraId="36FD61FA" w14:textId="64C93BC9" w:rsidR="006E6809" w:rsidRPr="00F744CD" w:rsidRDefault="00B76C58" w:rsidP="00B76C58">
      <w:pPr>
        <w:widowControl w:val="0"/>
        <w:autoSpaceDE w:val="0"/>
        <w:autoSpaceDN w:val="0"/>
        <w:adjustRightInd w:val="0"/>
        <w:spacing w:line="240" w:lineRule="auto"/>
        <w:ind w:left="480" w:hanging="480"/>
        <w:rPr>
          <w:rFonts w:ascii="Cambria" w:hAnsi="Cambria"/>
        </w:rPr>
      </w:pPr>
      <w:r w:rsidRPr="00884645">
        <w:rPr>
          <w:rFonts w:ascii="Cambria" w:hAnsi="Cambria" w:cs="Times New Roman"/>
          <w:noProof/>
        </w:rPr>
        <w:t xml:space="preserve">Suci Amaliyah. “Halaqah Fiqih Peradaban Fatayat NU Bahas Ijtihad Ulama Untuk Peradilan Berkeadilan Gender.” </w:t>
      </w:r>
      <w:r w:rsidRPr="00884645">
        <w:rPr>
          <w:rFonts w:ascii="Cambria" w:hAnsi="Cambria" w:cs="Times New Roman"/>
          <w:i/>
          <w:iCs/>
          <w:noProof/>
        </w:rPr>
        <w:t>Nu.or.Id, 23 Desember</w:t>
      </w:r>
      <w:r w:rsidRPr="00884645">
        <w:rPr>
          <w:rFonts w:ascii="Cambria" w:hAnsi="Cambria" w:cs="Times New Roman"/>
          <w:noProof/>
        </w:rPr>
        <w:t>, 2023. https://nu.or.id/nasional/halaqah-fiqih-peradaban-fatayat-nu-bahas-ijtihad-ulama-untuk-peradilan-berkeadilan-gender-lDQsk.</w:t>
      </w:r>
    </w:p>
    <w:p w14:paraId="31A48438" w14:textId="77777777" w:rsidR="006E6809" w:rsidRPr="00BB274E" w:rsidRDefault="006E6809" w:rsidP="006E6809">
      <w:pPr>
        <w:pBdr>
          <w:top w:val="nil"/>
          <w:left w:val="nil"/>
          <w:bottom w:val="nil"/>
          <w:right w:val="nil"/>
          <w:between w:val="nil"/>
        </w:pBdr>
        <w:spacing w:line="240" w:lineRule="auto"/>
        <w:ind w:left="720" w:hanging="720"/>
        <w:rPr>
          <w:rFonts w:ascii="Cambria" w:eastAsia="Cambria" w:hAnsi="Cambria" w:cs="Cambria"/>
          <w:color w:val="000000"/>
          <w:lang w:val="id-ID"/>
        </w:rPr>
      </w:pPr>
      <w:r w:rsidRPr="00BB274E">
        <w:rPr>
          <w:rFonts w:ascii="Cambria" w:eastAsia="Cambria" w:hAnsi="Cambria" w:cs="Cambria"/>
          <w:color w:val="000000"/>
        </w:rPr>
        <w:fldChar w:fldCharType="end"/>
      </w:r>
    </w:p>
    <w:tbl>
      <w:tblPr>
        <w:tblW w:w="8897" w:type="dxa"/>
        <w:jc w:val="center"/>
        <w:tblLook w:val="04A0" w:firstRow="1" w:lastRow="0" w:firstColumn="1" w:lastColumn="0" w:noHBand="0" w:noVBand="1"/>
      </w:tblPr>
      <w:tblGrid>
        <w:gridCol w:w="1778"/>
        <w:gridCol w:w="7119"/>
      </w:tblGrid>
      <w:tr w:rsidR="005F70DE" w:rsidRPr="00BD02A7" w14:paraId="41AF5E08" w14:textId="77777777" w:rsidTr="00501F85">
        <w:trPr>
          <w:jc w:val="center"/>
        </w:trPr>
        <w:tc>
          <w:tcPr>
            <w:tcW w:w="1778" w:type="dxa"/>
          </w:tcPr>
          <w:p w14:paraId="5E3FA846" w14:textId="77777777" w:rsidR="005F70DE" w:rsidRPr="00BD02A7" w:rsidRDefault="005F70DE" w:rsidP="005F70DE">
            <w:pPr>
              <w:spacing w:before="7"/>
              <w:contextualSpacing/>
              <w:rPr>
                <w:rFonts w:ascii="Cambria" w:eastAsia="Times New Roman" w:hAnsi="Cambria" w:cs="Book Antiqua"/>
                <w:sz w:val="32"/>
                <w:szCs w:val="32"/>
                <w:lang w:val="en-ID" w:eastAsia="en-ID"/>
              </w:rPr>
            </w:pPr>
            <w:bookmarkStart w:id="0" w:name="_Hlk92287815"/>
            <w:r w:rsidRPr="00BD02A7">
              <w:rPr>
                <w:rFonts w:ascii="Cambria" w:eastAsia="Times New Roman" w:hAnsi="Cambria" w:cs="Times New Roman"/>
                <w:noProof/>
                <w:lang w:val="en-ID" w:eastAsia="en-ID"/>
              </w:rPr>
              <w:drawing>
                <wp:anchor distT="0" distB="0" distL="114300" distR="114300" simplePos="0" relativeHeight="251659264" behindDoc="0" locked="0" layoutInCell="1" allowOverlap="1" wp14:anchorId="7FB72375" wp14:editId="2210C5F6">
                  <wp:simplePos x="0" y="0"/>
                  <wp:positionH relativeFrom="page">
                    <wp:posOffset>143510</wp:posOffset>
                  </wp:positionH>
                  <wp:positionV relativeFrom="paragraph">
                    <wp:posOffset>3175</wp:posOffset>
                  </wp:positionV>
                  <wp:extent cx="945515" cy="336550"/>
                  <wp:effectExtent l="0" t="0" r="6985" b="6350"/>
                  <wp:wrapNone/>
                  <wp:docPr id="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45515" cy="336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19" w:type="dxa"/>
          </w:tcPr>
          <w:p w14:paraId="4B276736" w14:textId="3377D36D" w:rsidR="005F70DE" w:rsidRPr="00BD02A7" w:rsidRDefault="005F70DE" w:rsidP="005F70DE">
            <w:pPr>
              <w:spacing w:line="284" w:lineRule="auto"/>
              <w:ind w:right="114"/>
              <w:rPr>
                <w:rFonts w:ascii="Cambria" w:eastAsia="Times New Roman" w:hAnsi="Cambria" w:cs="Garamond"/>
                <w:sz w:val="18"/>
                <w:szCs w:val="18"/>
                <w:lang w:val="id-ID"/>
              </w:rPr>
            </w:pPr>
            <w:r w:rsidRPr="00BD02A7">
              <w:rPr>
                <w:rFonts w:ascii="Cambria" w:eastAsia="Times New Roman" w:hAnsi="Cambria"/>
                <w:b/>
                <w:sz w:val="18"/>
              </w:rPr>
              <w:t>©</w:t>
            </w:r>
            <w:r w:rsidRPr="00BD02A7">
              <w:rPr>
                <w:rFonts w:ascii="Cambria" w:eastAsia="Times New Roman" w:hAnsi="Cambria"/>
                <w:b/>
                <w:spacing w:val="36"/>
                <w:sz w:val="18"/>
              </w:rPr>
              <w:t xml:space="preserve"> </w:t>
            </w:r>
            <w:r w:rsidRPr="00BD02A7">
              <w:rPr>
                <w:rFonts w:ascii="Cambria" w:eastAsia="Times New Roman" w:hAnsi="Cambria"/>
                <w:b/>
                <w:spacing w:val="-1"/>
                <w:sz w:val="18"/>
              </w:rPr>
              <w:t>202</w:t>
            </w:r>
            <w:r w:rsidR="006E6809">
              <w:rPr>
                <w:rFonts w:ascii="Cambria" w:eastAsia="Times New Roman" w:hAnsi="Cambria"/>
                <w:b/>
                <w:spacing w:val="-1"/>
                <w:sz w:val="18"/>
              </w:rPr>
              <w:t>6</w:t>
            </w:r>
            <w:r w:rsidRPr="00BD02A7">
              <w:rPr>
                <w:rFonts w:ascii="Cambria" w:eastAsia="Times New Roman" w:hAnsi="Cambria"/>
                <w:b/>
                <w:spacing w:val="-1"/>
                <w:sz w:val="18"/>
              </w:rPr>
              <w:t xml:space="preserve"> by the authors. </w:t>
            </w:r>
            <w:r w:rsidRPr="00BD02A7">
              <w:rPr>
                <w:rFonts w:ascii="Cambria" w:eastAsia="Times New Roman" w:hAnsi="Cambria"/>
                <w:bCs/>
                <w:spacing w:val="-1"/>
                <w:sz w:val="18"/>
              </w:rPr>
              <w:t>Published as an open access publication under the terms and conditions of the Creative Commons Attribution-NonCommercial 4.0 International License (CC BY NC) license (https://creativecommons.org/licenses/by-nc/4.0/).</w:t>
            </w:r>
          </w:p>
        </w:tc>
      </w:tr>
      <w:bookmarkEnd w:id="0"/>
    </w:tbl>
    <w:p w14:paraId="633F0ED5" w14:textId="27BD34C2" w:rsidR="00CF044E" w:rsidRPr="00BD02A7" w:rsidRDefault="00CF044E" w:rsidP="00501F85">
      <w:pPr>
        <w:pStyle w:val="Bibliography"/>
        <w:ind w:left="0" w:firstLine="0"/>
        <w:rPr>
          <w:rFonts w:ascii="Cambria" w:hAnsi="Cambria"/>
        </w:rPr>
      </w:pPr>
    </w:p>
    <w:sectPr w:rsidR="00CF044E" w:rsidRPr="00BD02A7" w:rsidSect="007F2884">
      <w:headerReference w:type="even" r:id="rId17"/>
      <w:headerReference w:type="default" r:id="rId18"/>
      <w:footerReference w:type="even" r:id="rId19"/>
      <w:footerReference w:type="default" r:id="rId20"/>
      <w:headerReference w:type="first" r:id="rId21"/>
      <w:footerReference w:type="first" r:id="rId22"/>
      <w:pgSz w:w="11907" w:h="16840" w:code="9"/>
      <w:pgMar w:top="1134" w:right="1701" w:bottom="1134" w:left="1701" w:header="720" w:footer="720" w:gutter="0"/>
      <w:pgNumType w:start="3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0B664" w14:textId="77777777" w:rsidR="00A16741" w:rsidRDefault="00A16741" w:rsidP="00146A14">
      <w:pPr>
        <w:spacing w:line="240" w:lineRule="auto"/>
      </w:pPr>
      <w:r>
        <w:separator/>
      </w:r>
    </w:p>
  </w:endnote>
  <w:endnote w:type="continuationSeparator" w:id="0">
    <w:p w14:paraId="5BC4A0B6" w14:textId="77777777" w:rsidR="00A16741" w:rsidRDefault="00A16741" w:rsidP="00146A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Jamia2014">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 w:name="Naskhi">
    <w:altName w:val="Times New Roman"/>
    <w:charset w:val="B2"/>
    <w:family w:val="auto"/>
    <w:pitch w:val="default"/>
    <w:sig w:usb0="00002001" w:usb1="00000000" w:usb2="00000000" w:usb3="00000000" w:csb0="0000004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03396693"/>
      <w:docPartObj>
        <w:docPartGallery w:val="Page Numbers (Bottom of Page)"/>
        <w:docPartUnique/>
      </w:docPartObj>
    </w:sdtPr>
    <w:sdtContent>
      <w:p w14:paraId="3E2FA6C4" w14:textId="165FDEDD" w:rsidR="00861E16" w:rsidRDefault="00861E16" w:rsidP="00BB761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EFBD117" w14:textId="77777777" w:rsidR="00861E16" w:rsidRDefault="00861E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414385"/>
      <w:docPartObj>
        <w:docPartGallery w:val="Page Numbers (Bottom of Page)"/>
        <w:docPartUnique/>
      </w:docPartObj>
    </w:sdtPr>
    <w:sdtEndPr>
      <w:rPr>
        <w:rStyle w:val="PageNumber"/>
        <w:rFonts w:ascii="Cambria" w:hAnsi="Cambria"/>
      </w:rPr>
    </w:sdtEndPr>
    <w:sdtContent>
      <w:p w14:paraId="38AD953D" w14:textId="638B174C" w:rsidR="00861E16" w:rsidRPr="00390EB7" w:rsidRDefault="00861E16" w:rsidP="00BB761B">
        <w:pPr>
          <w:pStyle w:val="Footer"/>
          <w:framePr w:wrap="none" w:vAnchor="text" w:hAnchor="margin" w:xAlign="center" w:y="1"/>
          <w:rPr>
            <w:rStyle w:val="PageNumber"/>
            <w:rFonts w:ascii="Cambria" w:hAnsi="Cambria"/>
          </w:rPr>
        </w:pPr>
        <w:r w:rsidRPr="00390EB7">
          <w:rPr>
            <w:rStyle w:val="PageNumber"/>
            <w:rFonts w:ascii="Cambria" w:hAnsi="Cambria"/>
          </w:rPr>
          <w:fldChar w:fldCharType="begin"/>
        </w:r>
        <w:r w:rsidRPr="00390EB7">
          <w:rPr>
            <w:rStyle w:val="PageNumber"/>
            <w:rFonts w:ascii="Cambria" w:hAnsi="Cambria"/>
          </w:rPr>
          <w:instrText xml:space="preserve"> PAGE </w:instrText>
        </w:r>
        <w:r w:rsidRPr="00390EB7">
          <w:rPr>
            <w:rStyle w:val="PageNumber"/>
            <w:rFonts w:ascii="Cambria" w:hAnsi="Cambria"/>
          </w:rPr>
          <w:fldChar w:fldCharType="separate"/>
        </w:r>
        <w:r w:rsidRPr="00390EB7">
          <w:rPr>
            <w:rStyle w:val="PageNumber"/>
            <w:rFonts w:ascii="Cambria" w:hAnsi="Cambria"/>
            <w:noProof/>
          </w:rPr>
          <w:t>2</w:t>
        </w:r>
        <w:r w:rsidRPr="00390EB7">
          <w:rPr>
            <w:rStyle w:val="PageNumber"/>
            <w:rFonts w:ascii="Cambria" w:hAnsi="Cambria"/>
          </w:rPr>
          <w:fldChar w:fldCharType="end"/>
        </w:r>
      </w:p>
    </w:sdtContent>
  </w:sdt>
  <w:p w14:paraId="7DBCF124" w14:textId="574FFAA6" w:rsidR="009014E2" w:rsidRPr="00861E16" w:rsidRDefault="009014E2" w:rsidP="009067FF">
    <w:pPr>
      <w:pStyle w:val="Footer"/>
      <w:tabs>
        <w:tab w:val="left" w:pos="2934"/>
        <w:tab w:val="center" w:pos="4535"/>
        <w:tab w:val="right" w:pos="9071"/>
      </w:tabs>
      <w:jc w:val="center"/>
      <w:rPr>
        <w:rFonts w:ascii="Cambria" w:hAnsi="Cambria"/>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83" w:type="pct"/>
      <w:jc w:val="right"/>
      <w:tblCellMar>
        <w:top w:w="115" w:type="dxa"/>
        <w:left w:w="115" w:type="dxa"/>
        <w:bottom w:w="115" w:type="dxa"/>
        <w:right w:w="115" w:type="dxa"/>
      </w:tblCellMar>
      <w:tblLook w:val="04A0" w:firstRow="1" w:lastRow="0" w:firstColumn="1" w:lastColumn="0" w:noHBand="0" w:noVBand="1"/>
    </w:tblPr>
    <w:tblGrid>
      <w:gridCol w:w="8079"/>
      <w:gridCol w:w="567"/>
    </w:tblGrid>
    <w:tr w:rsidR="00861E16" w:rsidRPr="00363F1F" w14:paraId="2258010A" w14:textId="77777777" w:rsidTr="00D24A8C">
      <w:trPr>
        <w:jc w:val="right"/>
      </w:trPr>
      <w:tc>
        <w:tcPr>
          <w:tcW w:w="8080" w:type="dxa"/>
          <w:vAlign w:val="center"/>
        </w:tcPr>
        <w:sdt>
          <w:sdtPr>
            <w:rPr>
              <w:rFonts w:ascii="Cambria" w:hAnsi="Cambria" w:cs="Times New Roman"/>
              <w:kern w:val="36"/>
              <w:sz w:val="15"/>
              <w:szCs w:val="15"/>
              <w:lang w:eastAsia="en-ID"/>
            </w:rPr>
            <w:alias w:val="Pengarang"/>
            <w:tag w:val=""/>
            <w:id w:val="1534539408"/>
            <w:placeholder>
              <w:docPart w:val="1049DF813AB1B24F83D9D8F0A5494D57"/>
            </w:placeholder>
            <w:dataBinding w:prefixMappings="xmlns:ns0='http://purl.org/dc/elements/1.1/' xmlns:ns1='http://schemas.openxmlformats.org/package/2006/metadata/core-properties' " w:xpath="/ns1:coreProperties[1]/ns0:creator[1]" w:storeItemID="{6C3C8BC8-F283-45AE-878A-BAB7291924A1}"/>
            <w:text/>
          </w:sdtPr>
          <w:sdtContent>
            <w:p w14:paraId="4B276A74" w14:textId="58CA8FE4" w:rsidR="00861E16" w:rsidRPr="00363F1F" w:rsidRDefault="0002010B" w:rsidP="00D24A8C">
              <w:pPr>
                <w:pStyle w:val="Header"/>
                <w:rPr>
                  <w:rFonts w:ascii="Cambria" w:hAnsi="Cambria"/>
                  <w:caps/>
                  <w:color w:val="000000" w:themeColor="text1"/>
                </w:rPr>
              </w:pPr>
              <w:r w:rsidRPr="0002010B">
                <w:rPr>
                  <w:rFonts w:ascii="Cambria" w:hAnsi="Cambria" w:cs="Times New Roman"/>
                  <w:kern w:val="36"/>
                  <w:sz w:val="15"/>
                  <w:szCs w:val="15"/>
                  <w:lang w:eastAsia="en-ID"/>
                </w:rPr>
                <w:t xml:space="preserve">Editorial Office: Faculty of Sharia, IAIN Ponorogo, Jalan Puspita Jaya, Pintu Village, Jenangan District, Ponorogo Regency 63492, Indonesia, </w:t>
              </w:r>
              <w:r w:rsidRPr="0002010B">
                <w:rPr>
                  <w:rFonts w:ascii="Segoe UI Emoji" w:hAnsi="Segoe UI Emoji" w:cs="Segoe UI Emoji"/>
                  <w:kern w:val="36"/>
                  <w:sz w:val="15"/>
                  <w:szCs w:val="15"/>
                  <w:lang w:eastAsia="en-ID"/>
                </w:rPr>
                <w:t>📞</w:t>
              </w:r>
              <w:r w:rsidRPr="0002010B">
                <w:rPr>
                  <w:rFonts w:ascii="Cambria" w:hAnsi="Cambria" w:cs="Times New Roman"/>
                  <w:kern w:val="36"/>
                  <w:sz w:val="15"/>
                  <w:szCs w:val="15"/>
                  <w:lang w:eastAsia="en-ID"/>
                </w:rPr>
                <w:t xml:space="preserve"> Phone: (0352) 3592508, </w:t>
              </w:r>
              <w:r w:rsidRPr="0002010B">
                <w:rPr>
                  <w:rFonts w:ascii="Segoe UI Emoji" w:hAnsi="Segoe UI Emoji" w:cs="Segoe UI Emoji"/>
                  <w:kern w:val="36"/>
                  <w:sz w:val="15"/>
                  <w:szCs w:val="15"/>
                  <w:lang w:eastAsia="en-ID"/>
                </w:rPr>
                <w:t>🌐</w:t>
              </w:r>
              <w:r w:rsidRPr="0002010B">
                <w:rPr>
                  <w:rFonts w:ascii="Cambria" w:hAnsi="Cambria" w:cs="Times New Roman"/>
                  <w:kern w:val="36"/>
                  <w:sz w:val="15"/>
                  <w:szCs w:val="15"/>
                  <w:lang w:eastAsia="en-ID"/>
                </w:rPr>
                <w:t xml:space="preserve"> Website: https://ejournal.iainponorogo.ac.id/index.php/antologihukum, </w:t>
              </w:r>
              <w:r w:rsidRPr="0002010B">
                <w:rPr>
                  <w:rFonts w:ascii="Segoe UI Emoji" w:hAnsi="Segoe UI Emoji" w:cs="Segoe UI Emoji"/>
                  <w:kern w:val="36"/>
                  <w:sz w:val="15"/>
                  <w:szCs w:val="15"/>
                  <w:lang w:eastAsia="en-ID"/>
                </w:rPr>
                <w:t>✉️</w:t>
              </w:r>
              <w:r w:rsidRPr="0002010B">
                <w:rPr>
                  <w:rFonts w:ascii="Cambria" w:hAnsi="Cambria" w:cs="Times New Roman"/>
                  <w:kern w:val="36"/>
                  <w:sz w:val="15"/>
                  <w:szCs w:val="15"/>
                  <w:lang w:eastAsia="en-ID"/>
                </w:rPr>
                <w:t xml:space="preserve"> Email: antologihukum@iainponorogo.ac.id</w:t>
              </w:r>
            </w:p>
          </w:sdtContent>
        </w:sdt>
      </w:tc>
      <w:tc>
        <w:tcPr>
          <w:tcW w:w="567" w:type="dxa"/>
          <w:shd w:val="clear" w:color="auto" w:fill="E97132" w:themeFill="accent2"/>
          <w:vAlign w:val="center"/>
        </w:tcPr>
        <w:p w14:paraId="422BB8A9" w14:textId="77777777" w:rsidR="00861E16" w:rsidRPr="00363F1F" w:rsidRDefault="00861E16" w:rsidP="00861E16">
          <w:pPr>
            <w:pStyle w:val="Footer"/>
            <w:jc w:val="center"/>
            <w:rPr>
              <w:rFonts w:ascii="Cambria" w:hAnsi="Cambria"/>
              <w:color w:val="FFFFFF" w:themeColor="background1"/>
            </w:rPr>
          </w:pPr>
          <w:r w:rsidRPr="00363F1F">
            <w:rPr>
              <w:rFonts w:ascii="Cambria" w:hAnsi="Cambria"/>
              <w:color w:val="FFFFFF" w:themeColor="background1"/>
            </w:rPr>
            <w:fldChar w:fldCharType="begin"/>
          </w:r>
          <w:r w:rsidRPr="00363F1F">
            <w:rPr>
              <w:rFonts w:ascii="Cambria" w:hAnsi="Cambria"/>
              <w:color w:val="FFFFFF" w:themeColor="background1"/>
            </w:rPr>
            <w:instrText>PAGE   \* MERGEFORMAT</w:instrText>
          </w:r>
          <w:r w:rsidRPr="00363F1F">
            <w:rPr>
              <w:rFonts w:ascii="Cambria" w:hAnsi="Cambria"/>
              <w:color w:val="FFFFFF" w:themeColor="background1"/>
            </w:rPr>
            <w:fldChar w:fldCharType="separate"/>
          </w:r>
          <w:r w:rsidRPr="00363F1F">
            <w:rPr>
              <w:rFonts w:ascii="Cambria" w:hAnsi="Cambria"/>
              <w:color w:val="FFFFFF" w:themeColor="background1"/>
            </w:rPr>
            <w:t>2</w:t>
          </w:r>
          <w:r w:rsidRPr="00363F1F">
            <w:rPr>
              <w:rFonts w:ascii="Cambria" w:hAnsi="Cambria"/>
              <w:color w:val="FFFFFF" w:themeColor="background1"/>
            </w:rPr>
            <w:fldChar w:fldCharType="end"/>
          </w:r>
        </w:p>
      </w:tc>
    </w:tr>
  </w:tbl>
  <w:p w14:paraId="126D2370" w14:textId="655BF082" w:rsidR="00861E16" w:rsidRPr="00363F1F" w:rsidRDefault="00861E16">
    <w:pPr>
      <w:pStyle w:val="Footer"/>
      <w:rPr>
        <w:rFonts w:ascii="Cambria" w:hAnsi="Cambria"/>
      </w:rPr>
    </w:pPr>
    <w:r w:rsidRPr="00363F1F">
      <w:rPr>
        <w:rFonts w:ascii="Cambria" w:hAnsi="Cambria"/>
        <w:noProof/>
      </w:rPr>
      <mc:AlternateContent>
        <mc:Choice Requires="wps">
          <w:drawing>
            <wp:anchor distT="0" distB="0" distL="114300" distR="114300" simplePos="0" relativeHeight="251659264" behindDoc="0" locked="0" layoutInCell="1" allowOverlap="1" wp14:anchorId="1326A391" wp14:editId="254F8D71">
              <wp:simplePos x="0" y="0"/>
              <wp:positionH relativeFrom="column">
                <wp:posOffset>-12700</wp:posOffset>
              </wp:positionH>
              <wp:positionV relativeFrom="paragraph">
                <wp:posOffset>-501378</wp:posOffset>
              </wp:positionV>
              <wp:extent cx="5076000" cy="0"/>
              <wp:effectExtent l="0" t="0" r="0" b="0"/>
              <wp:wrapNone/>
              <wp:docPr id="1647283048" name="Konektor Lurus 1"/>
              <wp:cNvGraphicFramePr/>
              <a:graphic xmlns:a="http://schemas.openxmlformats.org/drawingml/2006/main">
                <a:graphicData uri="http://schemas.microsoft.com/office/word/2010/wordprocessingShape">
                  <wps:wsp>
                    <wps:cNvCnPr/>
                    <wps:spPr>
                      <a:xfrm>
                        <a:off x="0" y="0"/>
                        <a:ext cx="5076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B3B201" id="Konektor Lurus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39.5pt" to="398.7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" strokecolor="#156082 [3204]" strokeweight="1.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EAC50" w14:textId="77777777" w:rsidR="00A16741" w:rsidRDefault="00A16741" w:rsidP="00146A14">
      <w:pPr>
        <w:spacing w:line="240" w:lineRule="auto"/>
      </w:pPr>
      <w:r>
        <w:separator/>
      </w:r>
    </w:p>
  </w:footnote>
  <w:footnote w:type="continuationSeparator" w:id="0">
    <w:p w14:paraId="240A9CEA" w14:textId="77777777" w:rsidR="00A16741" w:rsidRDefault="00A16741" w:rsidP="00146A14">
      <w:pPr>
        <w:spacing w:line="240" w:lineRule="auto"/>
      </w:pPr>
      <w:r>
        <w:continuationSeparator/>
      </w:r>
    </w:p>
  </w:footnote>
  <w:footnote w:id="1">
    <w:p w14:paraId="5A76AB9D"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Lihat dalam </w:t>
      </w:r>
      <w:r w:rsidRPr="007F2884">
        <w:rPr>
          <w:rFonts w:ascii="Cambria" w:hAnsi="Cambria"/>
        </w:rPr>
        <w:fldChar w:fldCharType="begin" w:fldLock="1"/>
      </w:r>
      <w:r w:rsidRPr="007F2884">
        <w:rPr>
          <w:rFonts w:ascii="Cambria" w:hAnsi="Cambria"/>
        </w:rPr>
        <w:instrText>ADDIN CSL_CITATION {"citationItems":[{"id":"ITEM-1","itemData":{"author":[{"dropping-particle":"","family":"Andrew J. Martin","given":"Brad Papworth &amp; Gregory Arief D. Liem","non-dropping-particle":"","parse-names":false,"suffix":""}],"container-title":"American Educational Research Journal","id":"ITEM-1","issue":"5","issued":{"date-parts":[["2014"]]},"title":"Boarding School, Academic Motivation and Engagement, and Psychological Well-Being: A Large-Scale Investigation","type":"article-journal","volume":"57"},"uris":["http://www.mendeley.com/documents/?uuid=5373b406-f64f-41f8-bff0-9067816f5bea"]}],"mendeley":{"formattedCitation":"Brad Papworth &amp; Gregory Arief D. Liem Andrew J. Martin, “Boarding School, Academic Motivation and Engagement, and Psychological Well-Being: A Large-Scale Investigation,” &lt;i&gt;American Educational Research Journal&lt;/i&gt; 57, no. 5 (2014).","manualFormatting":"Andrew J. Martin, Brad Papworth &amp; Gregory Arief D. Liem, “Boarding School, Academic Motivation and Engagement, and Psychological Well-Being: A Large-Scale Investigation,” American Educational Research Journal 57, no. 5 (2014).","plainTextFormattedCitation":"Brad Papworth &amp; Gregory Arief D. Liem Andrew J. Martin, “Boarding School, Academic Motivation and Engagement, and Psychological Well-Being: A Large-Scale Investigation,” American Educational Research Journal 57, no. 5 (2014).","previouslyFormattedCitation":"Brad Papworth &amp; Gregory Arief D. Liem Andrew J. Martin, “Boarding School, Academic Motivation and Engagement, and Psychological Well-Being: A Large-Scale Investigation,” &lt;i&gt;American Educational Research Journal&lt;/i&gt; 57, no. 5 (2014)."},"properties":{"noteIndex":1},"schema":"https://github.com/citation-style-language/schema/raw/master/csl-citation.json"}</w:instrText>
      </w:r>
      <w:r w:rsidRPr="007F2884">
        <w:rPr>
          <w:rFonts w:ascii="Cambria" w:hAnsi="Cambria"/>
        </w:rPr>
        <w:fldChar w:fldCharType="separate"/>
      </w:r>
      <w:r w:rsidRPr="007F2884">
        <w:rPr>
          <w:rFonts w:ascii="Cambria" w:hAnsi="Cambria"/>
          <w:noProof/>
        </w:rPr>
        <w:t xml:space="preserve">Andrew J. Martin, Brad Papworth &amp; Gregory Arief D. Liem, “Boarding School, Academic Motivation and Engagement, and Psychological Well-Being: A Large-Scale Investigation,” </w:t>
      </w:r>
      <w:r w:rsidRPr="007F2884">
        <w:rPr>
          <w:rFonts w:ascii="Cambria" w:hAnsi="Cambria"/>
          <w:i/>
          <w:noProof/>
        </w:rPr>
        <w:t>American Educational Research Journal</w:t>
      </w:r>
      <w:r w:rsidRPr="007F2884">
        <w:rPr>
          <w:rFonts w:ascii="Cambria" w:hAnsi="Cambria"/>
          <w:noProof/>
        </w:rPr>
        <w:t xml:space="preserve"> 57, no. 5 (2014).</w:t>
      </w:r>
      <w:r w:rsidRPr="007F2884">
        <w:rPr>
          <w:rFonts w:ascii="Cambria" w:hAnsi="Cambria"/>
        </w:rPr>
        <w:fldChar w:fldCharType="end"/>
      </w:r>
    </w:p>
  </w:footnote>
  <w:footnote w:id="2">
    <w:p w14:paraId="15A29E73"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Lihat dalam </w:t>
      </w:r>
      <w:r w:rsidRPr="007F2884">
        <w:rPr>
          <w:rFonts w:ascii="Cambria" w:hAnsi="Cambria"/>
        </w:rPr>
        <w:fldChar w:fldCharType="begin" w:fldLock="1"/>
      </w:r>
      <w:r w:rsidRPr="007F2884">
        <w:rPr>
          <w:rFonts w:ascii="Cambria" w:hAnsi="Cambria"/>
        </w:rPr>
        <w:instrText>ADDIN CSL_CITATION {"citationItems":[{"id":"ITEM-1","itemData":{"author":[{"dropping-particle":"","family":"Rubén Gaztambide-Fernández","given":"","non-dropping-particle":"","parse-names":false,"suffix":""}],"container-title":"Review of Educational Research","id":"ITEM-1","issue":"3","issued":{"date-parts":[["2009"]]},"title":"What Is an Elite Boarding School?","type":"article-journal","volume":"79"},"uris":["http://www.mendeley.com/documents/?uuid=4cfa24b1-997e-4dca-9983-e24cd456e3eb"]}],"mendeley":{"formattedCitation":"Rubén Gaztambide-Fernández, “What Is an Elite Boarding School?,” &lt;i&gt;Review of Educational Research&lt;/i&gt; 79, no. 3 (2009).","plainTextFormattedCitation":"Rubén Gaztambide-Fernández, “What Is an Elite Boarding School?,” Review of Educational Research 79, no. 3 (2009).","previouslyFormattedCitation":"Rubén Gaztambide-Fernández, “What Is an Elite Boarding School?,” &lt;i&gt;Review of Educational Research&lt;/i&gt; 79, no. 3 (2009)."},"properties":{"noteIndex":2},"schema":"https://github.com/citation-style-language/schema/raw/master/csl-citation.json"}</w:instrText>
      </w:r>
      <w:r w:rsidRPr="007F2884">
        <w:rPr>
          <w:rFonts w:ascii="Cambria" w:hAnsi="Cambria"/>
        </w:rPr>
        <w:fldChar w:fldCharType="separate"/>
      </w:r>
      <w:r w:rsidRPr="007F2884">
        <w:rPr>
          <w:rFonts w:ascii="Cambria" w:hAnsi="Cambria"/>
          <w:noProof/>
        </w:rPr>
        <w:t xml:space="preserve">Rubén Gaztambide-Fernández, “What Is an Elite Boarding School?,” </w:t>
      </w:r>
      <w:r w:rsidRPr="007F2884">
        <w:rPr>
          <w:rFonts w:ascii="Cambria" w:hAnsi="Cambria"/>
          <w:i/>
          <w:noProof/>
        </w:rPr>
        <w:t>Review of Educational Research</w:t>
      </w:r>
      <w:r w:rsidRPr="007F2884">
        <w:rPr>
          <w:rFonts w:ascii="Cambria" w:hAnsi="Cambria"/>
          <w:noProof/>
        </w:rPr>
        <w:t xml:space="preserve"> 79, no. 3 (2009).</w:t>
      </w:r>
      <w:r w:rsidRPr="007F2884">
        <w:rPr>
          <w:rFonts w:ascii="Cambria" w:hAnsi="Cambria"/>
        </w:rPr>
        <w:fldChar w:fldCharType="end"/>
      </w:r>
    </w:p>
  </w:footnote>
  <w:footnote w:id="3">
    <w:p w14:paraId="1AA55149"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{"citationItems":[{"id":"ITEM-1","itemData":{"author":[{"dropping-particle":"","family":"Ridwan Abdullah Sani","given":"","non-dropping-particle":"","parse-names":false,"suffix":""}],"id":"ITEM-1","issued":{"date-parts":[["2012"]]},"publisher":"Cipta Pustaka Media Perintis","publisher-place":"Bandung","title":"Pendidikan Karakter di Pesantren","type":"book"},"uris":["http://www.mendeley.com/documents/?uuid=caa10b67-2840-4789-acb0-87683d559271"]}],"mendeley":{"formattedCitation":"Ridwan Abdullah Sani, &lt;i&gt;Pendidikan Karakter Di Pesantren&lt;/i&gt; (Bandung: Cipta Pustaka Media Perintis, 2012).","manualFormatting":"Ridwan Abdullah Sani, Pendidikan Karakter Di Pesantren (Bandung: Cipta Pustaka Media Perintis, 2012), 35.","plainTextFormattedCitation":"Ridwan Abdullah Sani, Pendidikan Karakter Di Pesantren (Bandung: Cipta Pustaka Media Perintis, 2012).","previouslyFormattedCitation":"Ridwan Abdullah Sani, &lt;i&gt;Pendidikan Karakter Di Pesantren&lt;/i&gt; (Bandung: Cipta Pustaka Media Perintis, 2012)."},"properties":{"noteIndex":4},"schema":"https://github.com/citation-style-language/schema/raw/master/csl-citation.json"}</w:instrText>
      </w:r>
      <w:r w:rsidRPr="007F2884">
        <w:rPr>
          <w:rFonts w:ascii="Cambria" w:hAnsi="Cambria"/>
        </w:rPr>
        <w:fldChar w:fldCharType="separate"/>
      </w:r>
      <w:r w:rsidRPr="007F2884">
        <w:rPr>
          <w:rFonts w:ascii="Cambria" w:hAnsi="Cambria"/>
          <w:noProof/>
        </w:rPr>
        <w:t xml:space="preserve">Ridwan Abdullah Sani, </w:t>
      </w:r>
      <w:r w:rsidRPr="007F2884">
        <w:rPr>
          <w:rFonts w:ascii="Cambria" w:hAnsi="Cambria"/>
          <w:i/>
          <w:noProof/>
        </w:rPr>
        <w:t>Pendidikan Karakter Di Pesantren</w:t>
      </w:r>
      <w:r w:rsidRPr="007F2884">
        <w:rPr>
          <w:rFonts w:ascii="Cambria" w:hAnsi="Cambria"/>
          <w:noProof/>
        </w:rPr>
        <w:t xml:space="preserve"> (Bandung: Cipta Pustaka Media Perintis, 2012), 35.</w:t>
      </w:r>
      <w:r w:rsidRPr="007F2884">
        <w:rPr>
          <w:rFonts w:ascii="Cambria" w:hAnsi="Cambria"/>
        </w:rPr>
        <w:fldChar w:fldCharType="end"/>
      </w:r>
    </w:p>
  </w:footnote>
  <w:footnote w:id="4">
    <w:p w14:paraId="532C1723"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{"citationItems":[{"id":"ITEM-1","itemData":{"author":[{"dropping-particle":"","family":"Naela Sofiana, Mochammad Najmul Afad, Nada Alfa Farah, Nur Fajariyah","given":"&amp; Nur Hamid","non-dropping-particle":"","parse-names":false,"suffix":""}],"container-title":"HUMANISMA: Journal of Gender Studies","id":"ITEM-1","issue":"1","issued":{"date-parts":[["2023"]]},"title":"Women’s Boarding School: A Form of Gender Justice for Women Students","type":"article-journal","volume":"7"},"uris":["http://www.mendeley.com/documents/?uuid=a73cc426-1712-46a9-927f-5e4fd6f5d0ac"]}],"mendeley":{"formattedCitation":"&amp; Nur Hamid Naela Sofiana, Mochammad Najmul Afad, Nada Alfa Farah, Nur Fajariyah, “Women’s Boarding School: A Form of Gender Justice for Women Students,” &lt;i&gt;HUMANISMA: Journal of Gender Studies&lt;/i&gt; 7, no. 1 (2023).","manualFormatting":"Naela Sofiana, Mochammad Najmul Afad, Nada Alfa Farah, Nur Fajariyah, &amp; Nur Hamid, “Women’s Boarding School: A Form of Gender Justice for Women Students,” HUMANISMA: Journal of Gender Studies 7, no. 1 (2023).","plainTextFormattedCitation":"&amp; Nur Hamid Naela Sofiana, Mochammad Najmul Afad, Nada Alfa Farah, Nur Fajariyah, “Women’s Boarding School: A Form of Gender Justice for Women Students,” HUMANISMA: Journal of Gender Studies 7, no. 1 (2023).","previouslyFormattedCitation":"&amp; Nur Hamid Naela Sofiana, Mochammad Najmul Afad, Nada Alfa Farah, Nur Fajariyah, “Women’s Boarding School: A Form of Gender Justice for Women Students,” &lt;i&gt;HUMANISMA: Journal of Gender Studies&lt;/i&gt; 7, no. 1 (2023)."},"properties":{"noteIndex":3},"schema":"https://github.com/citation-style-language/schema/raw/master/csl-citation.json"}</w:instrText>
      </w:r>
      <w:r w:rsidRPr="007F2884">
        <w:rPr>
          <w:rFonts w:ascii="Cambria" w:hAnsi="Cambria"/>
        </w:rPr>
        <w:fldChar w:fldCharType="separate"/>
      </w:r>
      <w:r w:rsidRPr="007F2884">
        <w:rPr>
          <w:rFonts w:ascii="Cambria" w:hAnsi="Cambria"/>
          <w:noProof/>
        </w:rPr>
        <w:t xml:space="preserve">Naela Sofiana, Mochammad Najmul Afad, Nada Alfa Farah, Nur Fajariyah, &amp; Nur Hamid, “Women’s Boarding School: A Form of Gender Justice for Women Students,” </w:t>
      </w:r>
      <w:r w:rsidRPr="007F2884">
        <w:rPr>
          <w:rFonts w:ascii="Cambria" w:hAnsi="Cambria"/>
          <w:i/>
          <w:noProof/>
        </w:rPr>
        <w:t>HUMANISMA: Journal of Gender Studies</w:t>
      </w:r>
      <w:r w:rsidRPr="007F2884">
        <w:rPr>
          <w:rFonts w:ascii="Cambria" w:hAnsi="Cambria"/>
          <w:noProof/>
        </w:rPr>
        <w:t xml:space="preserve"> 7, no. 1 (2023).</w:t>
      </w:r>
      <w:r w:rsidRPr="007F2884">
        <w:rPr>
          <w:rFonts w:ascii="Cambria" w:hAnsi="Cambria"/>
        </w:rPr>
        <w:fldChar w:fldCharType="end"/>
      </w:r>
    </w:p>
  </w:footnote>
  <w:footnote w:id="5">
    <w:p w14:paraId="5D808DB4"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{"citationItems":[{"id":"ITEM-1","itemData":{"author":[{"dropping-particle":"","family":"Reza Fauzi Nazar","given":"","non-dropping-particle":"","parse-names":false,"suffix":""}],"container-title":"Asy-Syari'ah","id":"ITEM-1","issue":"1","issued":{"date-parts":[["2021"]]},"title":"Corak Pembaruan Pemikiran Hukum Islam dalam Konsep “Fiqh Sosial” K.H. Sahal Mahfudh","type":"article-journal","volume":"23"},"uris":["http://www.mendeley.com/documents/?uuid=ce871845-bd14-45fc-b095-01efd4387730"]}],"mendeley":{"formattedCitation":"Reza Fauzi Nazar, “Corak Pembaruan Pemikiran Hukum Islam Dalam Konsep ‘Fiqh Sosial’ K.H. Sahal Mahfudh,” &lt;i&gt;Asy-Syari’ah&lt;/i&gt; 23, no. 1 (2021).","plainTextFormattedCitation":"Reza Fauzi Nazar, “Corak Pembaruan Pemikiran Hukum Islam Dalam Konsep ‘Fiqh Sosial’ K.H. Sahal Mahfudh,” Asy-Syari’ah 23, no. 1 (2021).","previouslyFormattedCitation":"Reza Fauzi Nazar, “Corak Pembaruan Pemikiran Hukum Islam Dalam Konsep ‘Fiqh Sosial’ K.H. Sahal Mahfudh,” &lt;i&gt;Asy-Syari’ah&lt;/i&gt; 23, no. 1 (2021)."},"properties":{"noteIndex":5},"schema":"https://github.com/citation-style-language/schema/raw/master/csl-citation.json"}</w:instrText>
      </w:r>
      <w:r w:rsidRPr="007F2884">
        <w:rPr>
          <w:rFonts w:ascii="Cambria" w:hAnsi="Cambria"/>
        </w:rPr>
        <w:fldChar w:fldCharType="separate"/>
      </w:r>
      <w:r w:rsidRPr="007F2884">
        <w:rPr>
          <w:rFonts w:ascii="Cambria" w:hAnsi="Cambria"/>
          <w:noProof/>
        </w:rPr>
        <w:t xml:space="preserve">Reza Fauzi Nazar, “Corak Pembaruan Pemikiran Hukum Islam Dalam Konsep ‘Fiqh Sosial’ K.H. Sahal Mahfudh,” </w:t>
      </w:r>
      <w:r w:rsidRPr="007F2884">
        <w:rPr>
          <w:rFonts w:ascii="Cambria" w:hAnsi="Cambria"/>
          <w:i/>
          <w:noProof/>
        </w:rPr>
        <w:t>Asy-Syari’ah</w:t>
      </w:r>
      <w:r w:rsidRPr="007F2884">
        <w:rPr>
          <w:rFonts w:ascii="Cambria" w:hAnsi="Cambria"/>
          <w:noProof/>
        </w:rPr>
        <w:t xml:space="preserve"> 23, no. 1 (2021).</w:t>
      </w:r>
      <w:r w:rsidRPr="007F2884">
        <w:rPr>
          <w:rFonts w:ascii="Cambria" w:hAnsi="Cambria"/>
        </w:rPr>
        <w:fldChar w:fldCharType="end"/>
      </w:r>
    </w:p>
  </w:footnote>
  <w:footnote w:id="6">
    <w:p w14:paraId="27C91320"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{"citationItems":[{"id":"ITEM-1","itemData":{"author":[{"dropping-particle":"","family":"Suci Amaliyah","given":"","non-dropping-particle":"","parse-names":false,"suffix":""}],"container-title":"nu.or.id, 23 Desember","id":"ITEM-1","issued":{"date-parts":[["2023"]]},"title":"Halaqah Fiqih Peradaban Fatayat NU Bahas Ijtihad Ulama untuk Peradilan Berkeadilan Gender","type":"article-magazine"},"uris":["http://www.mendeley.com/documents/?uuid=b2e9092b-831a-467a-989c-0ee633916057"]}],"mendeley":{"formattedCitation":"Suci Amaliyah, “Halaqah Fiqih Peradaban Fatayat NU Bahas Ijtihad Ulama Untuk Peradilan Berkeadilan Gender,” &lt;i&gt;Nu.or.Id, 23 Desember&lt;/i&gt;, 2023, https://nu.or.id/nasional/halaqah-fiqih-peradaban-fatayat-nu-bahas-ijtihad-ulama-untuk-peradilan-berkeadilan-gender-lDQsk.","plainTextFormattedCitation":"Suci Amaliyah, “Halaqah Fiqih Peradaban Fatayat NU Bahas Ijtihad Ulama Untuk Peradilan Berkeadilan Gender,” Nu.or.Id, 23 Desember, 2023, https://nu.or.id/nasional/halaqah-fiqih-peradaban-fatayat-nu-bahas-ijtihad-ulama-untuk-peradilan-berkeadilan-gender-lDQsk.","previouslyFormattedCitation":"Suci Amaliyah, “Halaqah Fiqih Peradaban Fatayat NU Bahas Ijtihad Ulama Untuk Peradilan Berkeadilan Gender,” &lt;i&gt;Nu.or.Id, 23 Desember&lt;/i&gt;, 2023, https://nu.or.id/nasional/halaqah-fiqih-peradaban-fatayat-nu-bahas-ijtihad-ulama-untuk-peradilan-berkeadilan-gender-lDQsk."},"properties":{"noteIndex":6},"schema":"https://github.com/citation-style-language/schema/raw/master/csl-citation.json"}</w:instrText>
      </w:r>
      <w:r w:rsidRPr="007F2884">
        <w:rPr>
          <w:rFonts w:ascii="Cambria" w:hAnsi="Cambria"/>
        </w:rPr>
        <w:fldChar w:fldCharType="separate"/>
      </w:r>
      <w:r w:rsidRPr="007F2884">
        <w:rPr>
          <w:rFonts w:ascii="Cambria" w:hAnsi="Cambria"/>
          <w:noProof/>
        </w:rPr>
        <w:t xml:space="preserve">Suci Amaliyah, “Halaqah Fiqih Peradaban Fatayat NU Bahas Ijtihad Ulama Untuk Peradilan Berkeadilan Gender,” </w:t>
      </w:r>
      <w:r w:rsidRPr="007F2884">
        <w:rPr>
          <w:rFonts w:ascii="Cambria" w:hAnsi="Cambria"/>
          <w:i/>
          <w:noProof/>
        </w:rPr>
        <w:t>Nu.or.Id, 23 Desember</w:t>
      </w:r>
      <w:r w:rsidRPr="007F2884">
        <w:rPr>
          <w:rFonts w:ascii="Cambria" w:hAnsi="Cambria"/>
          <w:noProof/>
        </w:rPr>
        <w:t>, 2023, https://nu.or.id/nasional/halaqah-fiqih-peradaban-fatayat-nu-bahas-ijtihad-ulama-untuk-peradilan-berkeadilan-gender-lDQsk.</w:t>
      </w:r>
      <w:r w:rsidRPr="007F2884">
        <w:rPr>
          <w:rFonts w:ascii="Cambria" w:hAnsi="Cambria"/>
        </w:rPr>
        <w:fldChar w:fldCharType="end"/>
      </w:r>
    </w:p>
  </w:footnote>
  <w:footnote w:id="7">
    <w:p w14:paraId="67EF7935"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{"citationItems":[{"id":"ITEM-1","itemData":{"author":[{"dropping-particle":"","family":"Muhammad Ngizzul Muttaqin, Miftah Rosadi","given":"Arif Nur’aini","non-dropping-particle":"","parse-names":false,"suffix":""}],"container-title":"Raheema: Jurnal Studi Gender dan Anak","id":"ITEM-1","issue":"2","issued":{"date-parts":[["2021"]]},"title":"Fiqih Emansipatoris: Membangun Metodologi Fiqih Pembebasan Bagi Perempuan","type":"article-journal","volume":"8"},"uris":["http://www.mendeley.com/documents/?uuid=755eb38f-7eb2-4c5a-a73d-c916048a9c11"]}],"mendeley":{"formattedCitation":"Arif Nur’aini Muhammad Ngizzul Muttaqin, Miftah Rosadi, “Fiqih Emansipatoris: Membangun Metodologi Fiqih Pembebasan Bagi Perempuan,” &lt;i&gt;Raheema: Jurnal Studi Gender Dan Anak&lt;/i&gt; 8, no. 2 (2021).","manualFormatting":"Muhammad Ngizzul Muttaqin, Miftah Rosadi, Arif Nur’aini, “Fiqih Emansipatoris: Membangun Metodologi Fiqih Pembebasan Bagi Perempuan,” Raheema: Jurnal Studi Gender Dan Anak 8, no. 2 (2021).","plainTextFormattedCitation":"Arif Nur’aini Muhammad Ngizzul Muttaqin, Miftah Rosadi, “Fiqih Emansipatoris: Membangun Metodologi Fiqih Pembebasan Bagi Perempuan,” Raheema: Jurnal Studi Gender Dan Anak 8, no. 2 (2021).","previouslyFormattedCitation":"Arif Nur’aini Muhammad Ngizzul Muttaqin, Miftah Rosadi, “Fiqih Emansipatoris: Membangun Metodologi Fiqih Pembebasan Bagi Perempuan,” &lt;i&gt;Raheema: Jurnal Studi Gender Dan Anak&lt;/i&gt; 8, no. 2 (2021)."},"properties":{"noteIndex":7},"schema":"https://github.com/citation-style-language/schema/raw/master/csl-citation.json"}</w:instrText>
      </w:r>
      <w:r w:rsidRPr="007F2884">
        <w:rPr>
          <w:rFonts w:ascii="Cambria" w:hAnsi="Cambria"/>
        </w:rPr>
        <w:fldChar w:fldCharType="separate"/>
      </w:r>
      <w:r w:rsidRPr="007F2884">
        <w:rPr>
          <w:rFonts w:ascii="Cambria" w:hAnsi="Cambria"/>
          <w:noProof/>
        </w:rPr>
        <w:t xml:space="preserve">Muhammad Ngizzul Muttaqin, Miftah Rosadi, Arif Nur’aini, “Fiqih Emansipatoris: Membangun Metodologi Fiqih Pembebasan Bagi Perempuan,” </w:t>
      </w:r>
      <w:r w:rsidRPr="007F2884">
        <w:rPr>
          <w:rFonts w:ascii="Cambria" w:hAnsi="Cambria"/>
          <w:i/>
          <w:noProof/>
        </w:rPr>
        <w:t>Raheema: Jurnal Studi Gender Dan Anak</w:t>
      </w:r>
      <w:r w:rsidRPr="007F2884">
        <w:rPr>
          <w:rFonts w:ascii="Cambria" w:hAnsi="Cambria"/>
          <w:noProof/>
        </w:rPr>
        <w:t xml:space="preserve"> 8, no. 2 (2021).</w:t>
      </w:r>
      <w:r w:rsidRPr="007F2884">
        <w:rPr>
          <w:rFonts w:ascii="Cambria" w:hAnsi="Cambria"/>
        </w:rPr>
        <w:fldChar w:fldCharType="end"/>
      </w:r>
    </w:p>
  </w:footnote>
  <w:footnote w:id="8">
    <w:p w14:paraId="6909C423"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{"citationItems":[{"id":"ITEM-1","itemData":{"author":[{"dropping-particle":"","family":"Busyro","given":"","non-dropping-particle":"","parse-names":false,"suffix":""}],"container-title":"Journal of Indonesian Islam","id":"ITEM-1","issue":"2","issued":{"date-parts":[["2017"]]},"page":"537","title":"Female Imam and Khatib: The Progressive Tradition of Gender-Responsive Practices in Balingka, West Sumatera","type":"article-journal","volume":"11"},"uris":["http://www.mendeley.com/documents/?uuid=ff0d6e7a-8873-47e2-ac63-264412031c63"]}],"mendeley":{"formattedCitation":"Busyro, “Female Imam and Khatib: The Progressive Tradition of Gender-Responsive Practices in Balingka, West Sumatera,” &lt;i&gt;Journal of Indonesian Islam&lt;/i&gt; 11, no. 2 (2017): 537.","plainTextFormattedCitation":"Busyro, “Female Imam and Khatib: The Progressive Tradition of Gender-Responsive Practices in Balingka, West Sumatera,” Journal of Indonesian Islam 11, no. 2 (2017): 537.","previouslyFormattedCitation":"Busyro, “Female Imam and Khatib: The Progressive Tradition of Gender-Responsive Practices in Balingka, West Sumatera,” &lt;i&gt;Journal of Indonesian Islam&lt;/i&gt; 11, no. 2 (2017): 537."},"properties":{"noteIndex":8},"schema":"https://github.com/citation-style-language/schema/raw/master/csl-citation.json"}</w:instrText>
      </w:r>
      <w:r w:rsidRPr="007F2884">
        <w:rPr>
          <w:rFonts w:ascii="Cambria" w:hAnsi="Cambria"/>
        </w:rPr>
        <w:fldChar w:fldCharType="separate"/>
      </w:r>
      <w:r w:rsidRPr="007F2884">
        <w:rPr>
          <w:rFonts w:ascii="Cambria" w:hAnsi="Cambria"/>
          <w:noProof/>
        </w:rPr>
        <w:t xml:space="preserve">Busyro, “Female Imam and Khatib: The Progressive Tradition of Gender-Responsive Practices in Balingka, West Sumatera,” </w:t>
      </w:r>
      <w:r w:rsidRPr="007F2884">
        <w:rPr>
          <w:rFonts w:ascii="Cambria" w:hAnsi="Cambria"/>
          <w:i/>
          <w:noProof/>
        </w:rPr>
        <w:t>Journal of Indonesian Islam</w:t>
      </w:r>
      <w:r w:rsidRPr="007F2884">
        <w:rPr>
          <w:rFonts w:ascii="Cambria" w:hAnsi="Cambria"/>
          <w:noProof/>
        </w:rPr>
        <w:t xml:space="preserve"> 11, no. 2 (2017): 537.</w:t>
      </w:r>
      <w:r w:rsidRPr="007F2884">
        <w:rPr>
          <w:rFonts w:ascii="Cambria" w:hAnsi="Cambria"/>
        </w:rPr>
        <w:fldChar w:fldCharType="end"/>
      </w:r>
    </w:p>
  </w:footnote>
  <w:footnote w:id="9">
    <w:p w14:paraId="36B66368"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{"citationItems":[{"id":"ITEM-1","itemData":{"author":[{"dropping-particle":"","family":"Alimatul Qibtiyah","given":"","non-dropping-particle":"","parse-names":false,"suffix":""}],"container-title":"Al-Jami’ah: Journal of Islamic Studies","id":"ITEM-1","issue":"2","issued":{"date-parts":[["2018"]]},"title":"Mapping of Muslims Understandings on Gender Issues in Islam At Six Universities in Yogyakarta, Indonesia","type":"article-journal","volume":"56"},"uris":["http://www.mendeley.com/documents/?uuid=d9d79609-80d2-4e05-973d-dd5a973dc3b4"]}],"mendeley":{"formattedCitation":"Alimatul Qibtiyah, “Mapping of Muslims Understandings on Gender Issues in Islam At Six Universities in Yogyakarta, Indonesia,” &lt;i&gt;Al-Jami’ah: Journal of Islamic Studies&lt;/i&gt; 56, no. 2 (2018).","plainTextFormattedCitation":"Alimatul Qibtiyah, “Mapping of Muslims Understandings on Gender Issues in Islam At Six Universities in Yogyakarta, Indonesia,” Al-Jami’ah: Journal of Islamic Studies 56, no. 2 (2018).","previouslyFormattedCitation":"Alimatul Qibtiyah, “Mapping of Muslims Understandings on Gender Issues in Islam At Six Universities in Yogyakarta, Indonesia,” &lt;i&gt;Al-Jami’ah: Journal of Islamic Studies&lt;/i&gt; 56, no. 2 (2018)."},"properties":{"noteIndex":9},"schema":"https://github.com/citation-style-language/schema/raw/master/csl-citation.json"}</w:instrText>
      </w:r>
      <w:r w:rsidRPr="007F2884">
        <w:rPr>
          <w:rFonts w:ascii="Cambria" w:hAnsi="Cambria"/>
        </w:rPr>
        <w:fldChar w:fldCharType="separate"/>
      </w:r>
      <w:r w:rsidRPr="007F2884">
        <w:rPr>
          <w:rFonts w:ascii="Cambria" w:hAnsi="Cambria"/>
          <w:noProof/>
        </w:rPr>
        <w:t xml:space="preserve">Alimatul Qibtiyah, “Mapping of Muslims Understandings on Gender Issues in Islam At Six Universities in Yogyakarta, Indonesia,” </w:t>
      </w:r>
      <w:r w:rsidRPr="007F2884">
        <w:rPr>
          <w:rFonts w:ascii="Cambria" w:hAnsi="Cambria"/>
          <w:i/>
          <w:noProof/>
        </w:rPr>
        <w:t>Al-Jami’ah: Journal of Islamic Studies</w:t>
      </w:r>
      <w:r w:rsidRPr="007F2884">
        <w:rPr>
          <w:rFonts w:ascii="Cambria" w:hAnsi="Cambria"/>
          <w:noProof/>
        </w:rPr>
        <w:t xml:space="preserve"> 56, no. 2 (2018).</w:t>
      </w:r>
      <w:r w:rsidRPr="007F2884">
        <w:rPr>
          <w:rFonts w:ascii="Cambria" w:hAnsi="Cambria"/>
        </w:rPr>
        <w:fldChar w:fldCharType="end"/>
      </w:r>
    </w:p>
  </w:footnote>
  <w:footnote w:id="10">
    <w:p w14:paraId="0E106DD1"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{"citationItems":[{"id":"ITEM-1","itemData":{"author":[{"dropping-particle":"","family":"Siti Ruhaini Dzuhayatin","given":"","non-dropping-particle":"","parse-names":false,"suffix":""}],"container-title":"Al-Jami’ah: Journal of Islamic Studiesmi‘ah: Journal of Islamic Studies","id":"ITEM-1","issue":"1","issued":{"date-parts":[["2020"]]},"title":"Gender Glass Ceiling in Indonesia: Manifestation, Roots and Theological Breakthrough","type":"article-journal","volume":"58"},"uris":["http://www.mendeley.com/documents/?uuid=454572f8-0479-4656-8427-fc8e5ba178a0"]}],"mendeley":{"formattedCitation":"Siti Ruhaini Dzuhayatin, “Gender Glass Ceiling in Indonesia: Manifestation, Roots and Theological Breakthrough,” &lt;i&gt;Al-Jami’ah: Journal of Islamic Studiesmi‘ah: Journal of Islamic Studies&lt;/i&gt; 58, no. 1 (2020).","plainTextFormattedCitation":"Siti Ruhaini Dzuhayatin, “Gender Glass Ceiling in Indonesia: Manifestation, Roots and Theological Breakthrough,” Al-Jami’ah: Journal of Islamic Studiesmi‘ah: Journal of Islamic Studies 58, no. 1 (2020).","previouslyFormattedCitation":"Siti Ruhaini Dzuhayatin, “Gender Glass Ceiling in Indonesia: Manifestation, Roots and Theological Breakthrough,” &lt;i&gt;Al-Jami’ah: Journal of Islamic Studiesmi‘ah: Journal of Islamic Studies&lt;/i&gt; 58, no. 1 (2020)."},"properties":{"noteIndex":10},"schema":"https://github.com/citation-style-language/schema/raw/master/csl-citation.json"}</w:instrText>
      </w:r>
      <w:r w:rsidRPr="007F2884">
        <w:rPr>
          <w:rFonts w:ascii="Cambria" w:hAnsi="Cambria"/>
        </w:rPr>
        <w:fldChar w:fldCharType="separate"/>
      </w:r>
      <w:r w:rsidRPr="007F2884">
        <w:rPr>
          <w:rFonts w:ascii="Cambria" w:hAnsi="Cambria"/>
          <w:noProof/>
        </w:rPr>
        <w:t xml:space="preserve">Siti Ruhaini Dzuhayatin, “Gender Glass Ceiling in Indonesia: Manifestation, Roots and Theological Breakthrough,” </w:t>
      </w:r>
      <w:r w:rsidRPr="007F2884">
        <w:rPr>
          <w:rFonts w:ascii="Cambria" w:hAnsi="Cambria"/>
          <w:i/>
          <w:noProof/>
        </w:rPr>
        <w:t>Al-Jami’ah: Journal of Islamic Studiesmi‘ah: Journal of Islamic Studies</w:t>
      </w:r>
      <w:r w:rsidRPr="007F2884">
        <w:rPr>
          <w:rFonts w:ascii="Cambria" w:hAnsi="Cambria"/>
          <w:noProof/>
        </w:rPr>
        <w:t xml:space="preserve"> 58, no. 1 (2020).</w:t>
      </w:r>
      <w:r w:rsidRPr="007F2884">
        <w:rPr>
          <w:rFonts w:ascii="Cambria" w:hAnsi="Cambria"/>
        </w:rPr>
        <w:fldChar w:fldCharType="end"/>
      </w:r>
    </w:p>
  </w:footnote>
  <w:footnote w:id="11">
    <w:p w14:paraId="2751A705"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{"citationItems":[{"id":"ITEM-1","itemData":{"author":[{"dropping-particle":"","family":"Rianto Nugroho","given":"","non-dropping-particle":"","parse-names":false,"suffix":""}],"id":"ITEM-1","issued":{"date-parts":[["2011"]]},"publisher":"Pustaka Pelajar","publisher-place":"Yogyakarta","title":"Gender dan Strategi Pengarusutamanya di Indonesia","type":"book"},"uris":["http://www.mendeley.com/documents/?uuid=846874f2-d714-4f03-8c76-81ffe50537dd"]}],"mendeley":{"formattedCitation":"Rianto Nugroho, &lt;i&gt;Gender Dan Strategi Pengarusutamanya Di Indonesia&lt;/i&gt; (Yogyakarta: Pustaka Pelajar, 2011).","plainTextFormattedCitation":"Rianto Nugroho, Gender Dan Strategi Pengarusutamanya Di Indonesia (Yogyakarta: Pustaka Pelajar, 2011).","previouslyFormattedCitation":"Rianto Nugroho, &lt;i&gt;Gender Dan Strategi Pengarusutamanya Di Indonesia&lt;/i&gt; (Yogyakarta: Pustaka Pelajar, 2011)."},"properties":{"noteIndex":11},"schema":"https://github.com/citation-style-language/schema/raw/master/csl-citation.json"}</w:instrText>
      </w:r>
      <w:r w:rsidRPr="007F2884">
        <w:rPr>
          <w:rFonts w:ascii="Cambria" w:hAnsi="Cambria"/>
        </w:rPr>
        <w:fldChar w:fldCharType="separate"/>
      </w:r>
      <w:r w:rsidRPr="007F2884">
        <w:rPr>
          <w:rFonts w:ascii="Cambria" w:hAnsi="Cambria"/>
          <w:noProof/>
        </w:rPr>
        <w:t xml:space="preserve">Rianto Nugroho, </w:t>
      </w:r>
      <w:r w:rsidRPr="007F2884">
        <w:rPr>
          <w:rFonts w:ascii="Cambria" w:hAnsi="Cambria"/>
          <w:i/>
          <w:noProof/>
        </w:rPr>
        <w:t>Gender Dan Strategi Pengarusutamanya Di Indonesia</w:t>
      </w:r>
      <w:r w:rsidRPr="007F2884">
        <w:rPr>
          <w:rFonts w:ascii="Cambria" w:hAnsi="Cambria"/>
          <w:noProof/>
        </w:rPr>
        <w:t xml:space="preserve"> (Yogyakarta: Pustaka Pelajar, 2011).</w:t>
      </w:r>
      <w:r w:rsidRPr="007F2884">
        <w:rPr>
          <w:rFonts w:ascii="Cambria" w:hAnsi="Cambria"/>
        </w:rPr>
        <w:fldChar w:fldCharType="end"/>
      </w:r>
    </w:p>
  </w:footnote>
  <w:footnote w:id="12">
    <w:p w14:paraId="02813839"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Lihat dalam </w:t>
      </w:r>
      <w:r w:rsidRPr="007F2884">
        <w:rPr>
          <w:rFonts w:ascii="Cambria" w:hAnsi="Cambria"/>
        </w:rPr>
        <w:fldChar w:fldCharType="begin" w:fldLock="1"/>
      </w:r>
      <w:r w:rsidRPr="007F2884">
        <w:rPr>
          <w:rFonts w:ascii="Cambria" w:hAnsi="Cambria"/>
        </w:rPr>
        <w:instrText>ADDIN CSL_CITATION {"citationItems":[{"id":"ITEM-1","itemData":{"author":[{"dropping-particle":"","family":"Asmawi","given":"","non-dropping-particle":"","parse-names":false,"suffix":""}],"container-title":"Journal of Indonesian Islam","id":"ITEM-1","issue":"1","issued":{"date-parts":[["2023"]]},"title":"Murunah Ijtihad Jam'iyyah Nahdah Al-Ulama: Min Fiqh al-Hadarah ila Din al-Ishrin","type":"article-journal","volume":"17"},"uris":["http://www.mendeley.com/documents/?uuid=fcdee107-2dd1-43c9-9f72-ade485f4c19a"]}],"mendeley":{"formattedCitation":"Asmawi, “Murunah Ijtihad Jam’iyyah Nahdah Al-Ulama: Min Fiqh Al-Hadarah Ila Din Al-Ishrin,” &lt;i&gt;Journal of Indonesian Islam&lt;/i&gt; 17, no. 1 (2023).","plainTextFormattedCitation":"Asmawi, “Murunah Ijtihad Jam’iyyah Nahdah Al-Ulama: Min Fiqh Al-Hadarah Ila Din Al-Ishrin,” Journal of Indonesian Islam 17, no. 1 (2023).","previouslyFormattedCitation":"Asmawi, “Murunah Ijtihad Jam’iyyah Nahdah Al-Ulama: Min Fiqh Al-Hadarah Ila Din Al-Ishrin,” &lt;i&gt;Journal of Indonesian Islam&lt;/i&gt; 17, no. 1 (2023)."},"properties":{"noteIndex":12},"schema":"https://github.com/citation-style-language/schema/raw/master/csl-citation.json"}</w:instrText>
      </w:r>
      <w:r w:rsidRPr="007F2884">
        <w:rPr>
          <w:rFonts w:ascii="Cambria" w:hAnsi="Cambria"/>
        </w:rPr>
        <w:fldChar w:fldCharType="separate"/>
      </w:r>
      <w:r w:rsidRPr="007F2884">
        <w:rPr>
          <w:rFonts w:ascii="Cambria" w:hAnsi="Cambria"/>
          <w:noProof/>
        </w:rPr>
        <w:t xml:space="preserve">Asmawi, “Murunah Ijtihad Jam’iyyah Nahdah Al-Ulama: Min Fiqh Al-Hadarah Ila Din Al-Ishrin,” </w:t>
      </w:r>
      <w:r w:rsidRPr="007F2884">
        <w:rPr>
          <w:rFonts w:ascii="Cambria" w:hAnsi="Cambria"/>
          <w:i/>
          <w:noProof/>
        </w:rPr>
        <w:t>Journal of Indonesian Islam</w:t>
      </w:r>
      <w:r w:rsidRPr="007F2884">
        <w:rPr>
          <w:rFonts w:ascii="Cambria" w:hAnsi="Cambria"/>
          <w:noProof/>
        </w:rPr>
        <w:t xml:space="preserve"> 17, no. 1 (2023).</w:t>
      </w:r>
      <w:r w:rsidRPr="007F2884">
        <w:rPr>
          <w:rFonts w:ascii="Cambria" w:hAnsi="Cambria"/>
        </w:rPr>
        <w:fldChar w:fldCharType="end"/>
      </w:r>
    </w:p>
  </w:footnote>
  <w:footnote w:id="13">
    <w:p w14:paraId="3256882C"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{"citationItems":[{"id":"ITEM-1","itemData":{"author":[{"dropping-particle":"","family":"Joko Sayono","given":"","non-dropping-particle":"","parse-names":false,"suffix":""}],"container-title":"Bahasa dan Seni","id":"ITEM-1","issue":"1","issued":{"date-parts":[["2005"]]},"title":"Perkembangan Pesantren di Jawa Timur (1900-1942)","type":"article-journal","volume":"33"},"uris":["http://www.mendeley.com/documents/?uuid=f7b844a8-6615-4ff2-811a-ea305182ec67"]}],"mendeley":{"formattedCitation":"Joko Sayono, “Perkembangan Pesantren Di Jawa Timur (1900-1942),” &lt;i&gt;Bahasa Dan Seni&lt;/i&gt; 33, no. 1 (2005).","plainTextFormattedCitation":"Joko Sayono, “Perkembangan Pesantren Di Jawa Timur (1900-1942),” Bahasa Dan Seni 33, no. 1 (2005).","previouslyFormattedCitation":"Joko Sayono, “Perkembangan Pesantren Di Jawa Timur (1900-1942),” &lt;i&gt;Bahasa Dan Seni&lt;/i&gt; 33, no. 1 (2005)."},"properties":{"noteIndex":13},"schema":"https://github.com/citation-style-language/schema/raw/master/csl-citation.json"}</w:instrText>
      </w:r>
      <w:r w:rsidRPr="007F2884">
        <w:rPr>
          <w:rFonts w:ascii="Cambria" w:hAnsi="Cambria"/>
        </w:rPr>
        <w:fldChar w:fldCharType="separate"/>
      </w:r>
      <w:r w:rsidRPr="007F2884">
        <w:rPr>
          <w:rFonts w:ascii="Cambria" w:hAnsi="Cambria"/>
          <w:noProof/>
        </w:rPr>
        <w:t xml:space="preserve">Joko Sayono, “Perkembangan Pesantren Di Jawa Timur (1900-1942),” </w:t>
      </w:r>
      <w:r w:rsidRPr="007F2884">
        <w:rPr>
          <w:rFonts w:ascii="Cambria" w:hAnsi="Cambria"/>
          <w:i/>
          <w:noProof/>
        </w:rPr>
        <w:t>Bahasa Dan Seni</w:t>
      </w:r>
      <w:r w:rsidRPr="007F2884">
        <w:rPr>
          <w:rFonts w:ascii="Cambria" w:hAnsi="Cambria"/>
          <w:noProof/>
        </w:rPr>
        <w:t xml:space="preserve"> 33, no. 1 (2005).</w:t>
      </w:r>
      <w:r w:rsidRPr="007F2884">
        <w:rPr>
          <w:rFonts w:ascii="Cambria" w:hAnsi="Cambria"/>
        </w:rPr>
        <w:fldChar w:fldCharType="end"/>
      </w:r>
    </w:p>
  </w:footnote>
  <w:footnote w:id="14">
    <w:p w14:paraId="3CB2D2EF"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Observasi penelitian, Desember 2023-Januari 2024.</w:t>
      </w:r>
    </w:p>
  </w:footnote>
  <w:footnote w:id="15">
    <w:p w14:paraId="3352E83A"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Lihat dalam </w:t>
      </w:r>
      <w:r w:rsidRPr="007F2884">
        <w:rPr>
          <w:rFonts w:ascii="Cambria" w:hAnsi="Cambria"/>
        </w:rPr>
        <w:fldChar w:fldCharType="begin" w:fldLock="1"/>
      </w:r>
      <w:r w:rsidRPr="007F2884">
        <w:rPr>
          <w:rFonts w:ascii="Cambria" w:hAnsi="Cambria"/>
        </w:rPr>
        <w:instrText>ADDIN CSL_CITATION {"citationItems":[{"id":"ITEM-1","itemData":{"author":[{"dropping-particle":"","family":"Fatimatuz Zahro","given":"","non-dropping-particle":"","parse-names":false,"suffix":""}],"container-title":"surabaya.tribunnews.com, 19 Mei","id":"ITEM-1","issued":{"date-parts":[["2023"]]},"title":"811 Kasus Kekerasan Terhadap Perempuan Terjadi di Jatim Selama 2022, Khofifah Sediakan Hotline 129","type":"article-magazine"},"uris":["http://www.mendeley.com/documents/?uuid=6928eb63-65ea-417e-8c6c-c73cb6925a0c"]}],"mendeley":{"formattedCitation":"Fatimatuz Zahro, “811 Kasus Kekerasan Terhadap Perempuan Terjadi Di Jatim Selama 2022, Khofifah Sediakan Hotline 129,” &lt;i&gt;Surabaya.Tribunnews.Com, 19 Mei&lt;/i&gt;, 2023, https://surabaya.tribunnews.com/2023/05/19/811-kasus-kekerasan-terhadap-perempuan-terjadi-di-jatim-selama-2022-khofifah-sediakan-hotline-129.","plainTextFormattedCitation":"Fatimatuz Zahro, “811 Kasus Kekerasan Terhadap Perempuan Terjadi Di Jatim Selama 2022, Khofifah Sediakan Hotline 129,” Surabaya.Tribunnews.Com, 19 Mei, 2023, https://surabaya.tribunnews.com/2023/05/19/811-kasus-kekerasan-terhadap-perempuan-terjadi-di-jatim-selama-2022-khofifah-sediakan-hotline-129.","previouslyFormattedCitation":"Fatimatuz Zahro, “811 Kasus Kekerasan Terhadap Perempuan Terjadi Di Jatim Selama 2022, Khofifah Sediakan Hotline 129,” &lt;i&gt;Surabaya.Tribunnews.Com, 19 Mei&lt;/i&gt;, 2023, https://surabaya.tribunnews.com/2023/05/19/811-kasus-kekerasan-terhadap-perempuan-terjadi-di-jatim-selama-2022-khofifah-sediakan-hotline-129."},"properties":{"noteIndex":15},"schema":"https://github.com/citation-style-language/schema/raw/master/csl-citation.json"}</w:instrText>
      </w:r>
      <w:r w:rsidRPr="007F2884">
        <w:rPr>
          <w:rFonts w:ascii="Cambria" w:hAnsi="Cambria"/>
        </w:rPr>
        <w:fldChar w:fldCharType="separate"/>
      </w:r>
      <w:r w:rsidRPr="007F2884">
        <w:rPr>
          <w:rFonts w:ascii="Cambria" w:hAnsi="Cambria"/>
          <w:noProof/>
        </w:rPr>
        <w:t xml:space="preserve">Fatimatuz Zahro, “811 Kasus Kekerasan Terhadap Perempuan Terjadi Di Jatim Selama 2022, Khofifah Sediakan Hotline 129,” </w:t>
      </w:r>
      <w:r w:rsidRPr="007F2884">
        <w:rPr>
          <w:rFonts w:ascii="Cambria" w:hAnsi="Cambria"/>
          <w:i/>
          <w:noProof/>
        </w:rPr>
        <w:t>Surabaya.Tribunnews.Com, 19 Mei</w:t>
      </w:r>
      <w:r w:rsidRPr="007F2884">
        <w:rPr>
          <w:rFonts w:ascii="Cambria" w:hAnsi="Cambria"/>
          <w:noProof/>
        </w:rPr>
        <w:t>, 2023, https://surabaya.tribunnews.com/2023/05/19/811-kasus-kekerasan-terhadap-perempuan-terjadi-di-jatim-selama-2022-khofifah-sediakan-hotline-129.</w:t>
      </w:r>
      <w:r w:rsidRPr="007F2884">
        <w:rPr>
          <w:rFonts w:ascii="Cambria" w:hAnsi="Cambria"/>
        </w:rPr>
        <w:fldChar w:fldCharType="end"/>
      </w:r>
    </w:p>
  </w:footnote>
  <w:footnote w:id="16">
    <w:p w14:paraId="0EA3C4E7"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{"citationItems":[{"id":"ITEM-1","itemData":{"DOI":"10.21274/epis.2023.18.1.27-49","author":[{"dropping-particle":"","family":"Ahmad Muhtadi Anshor","given":"","non-dropping-particle":"","parse-names":false,"suffix":""}],"container-title":"Episteme: Jurnal Pengembangan Ilmu Keislaman","id":"ITEM-1","issue":"1","issued":{"date-parts":[["2023"]]},"title":"The Making Of Single Parent Resilience In Post-Covid-19 Pandemic In Indonesia: A Maqashid Al-Syari’ah Approach","type":"article-journal","volume":"18"},"uris":["http://www.mendeley.com/documents/?uuid=aabfcbe6-c8f9-443e-bee1-552c4a1ba8e3"]}],"mendeley":{"formattedCitation":"Ahmad Muhtadi Anshor, “The Making Of Single Parent Resilience In Post-Covid-19 Pandemic In Indonesia: A Maqashid Al-Syari’ah Approach,” &lt;i&gt;Episteme: Jurnal Pengembangan Ilmu Keislaman&lt;/i&gt; 18, no. 1 (2023), https://doi.org/10.21274/epis.2023.18.1.27-49.","plainTextFormattedCitation":"Ahmad Muhtadi Anshor, “The Making Of Single Parent Resilience In Post-Covid-19 Pandemic In Indonesia: A Maqashid Al-Syari’ah Approach,” Episteme: Jurnal Pengembangan Ilmu Keislaman 18, no. 1 (2023), https://doi.org/10.21274/epis.2023.18.1.27-49.","previouslyFormattedCitation":"Ahmad Muhtadi Anshor, “The Making Of Single Parent Resilience In Post-Covid-19 Pandemic In Indonesia: A Maqashid Al-Syari’ah Approach,” &lt;i&gt;Episteme: Jurnal Pengembangan Ilmu Keislaman&lt;/i&gt; 18, no. 1 (2023), https://doi.org/10.21274/epis.2023.18.1.27-49."},"properties":{"noteIndex":16},"schema":"https://github.com/citation-style-language/schema/raw/master/csl-citation.json"}</w:instrText>
      </w:r>
      <w:r w:rsidRPr="007F2884">
        <w:rPr>
          <w:rFonts w:ascii="Cambria" w:hAnsi="Cambria"/>
        </w:rPr>
        <w:fldChar w:fldCharType="separate"/>
      </w:r>
      <w:r w:rsidRPr="007F2884">
        <w:rPr>
          <w:rFonts w:ascii="Cambria" w:hAnsi="Cambria"/>
          <w:noProof/>
        </w:rPr>
        <w:t xml:space="preserve">Ahmad Muhtadi Anshor, “The Making Of Single Parent Resilience In Post-Covid-19 Pandemic In Indonesia: A Maqashid Al-Syari’ah Approach,” </w:t>
      </w:r>
      <w:r w:rsidRPr="007F2884">
        <w:rPr>
          <w:rFonts w:ascii="Cambria" w:hAnsi="Cambria"/>
          <w:i/>
          <w:noProof/>
        </w:rPr>
        <w:t>Episteme: Jurnal Pengembangan Ilmu Keislaman</w:t>
      </w:r>
      <w:r w:rsidRPr="007F2884">
        <w:rPr>
          <w:rFonts w:ascii="Cambria" w:hAnsi="Cambria"/>
          <w:noProof/>
        </w:rPr>
        <w:t xml:space="preserve"> 18, no. 1 (2023), https://doi.org/10.21274/epis.2023.18.1.27-49.</w:t>
      </w:r>
      <w:r w:rsidRPr="007F2884">
        <w:rPr>
          <w:rFonts w:ascii="Cambria" w:hAnsi="Cambria"/>
        </w:rPr>
        <w:fldChar w:fldCharType="end"/>
      </w:r>
    </w:p>
  </w:footnote>
  <w:footnote w:id="17">
    <w:p w14:paraId="3BC57E80"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Observasi penelitian, Desember 2023-Januari 2024.</w:t>
      </w:r>
    </w:p>
  </w:footnote>
  <w:footnote w:id="18">
    <w:p w14:paraId="2292D143"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{"citationItems":[{"id":"ITEM-1","itemData":{"author":[{"dropping-particle":"","family":"Najib Jauharia &amp; Siti Malikhah Towaf","given":"","non-dropping-particle":"","parse-names":false,"suffix":""}],"container-title":"Sejarah dan Budaya","id":"ITEM-1","issue":"2","issued":{"date-parts":[["2019"]]},"title":"Kesetaraan Gender di Pesantren dalam Kajian Literatur","type":"article-journal","volume":"13"},"uris":["http://www.mendeley.com/documents/?uuid=5671c745-db00-473e-b462-f4c3d19b4737"]}],"mendeley":{"formattedCitation":"Najib Jauharia &amp; Siti Malikhah Towaf, “Kesetaraan Gender Di Pesantren Dalam Kajian Literatur,” &lt;i&gt;Sejarah Dan Budaya&lt;/i&gt; 13, no. 2 (2019).","plainTextFormattedCitation":"Najib Jauharia &amp; Siti Malikhah Towaf, “Kesetaraan Gender Di Pesantren Dalam Kajian Literatur,” Sejarah Dan Budaya 13, no. 2 (2019).","previouslyFormattedCitation":"Najib Jauharia &amp; Siti Malikhah Towaf, “Kesetaraan Gender Di Pesantren Dalam Kajian Literatur,” &lt;i&gt;Sejarah Dan Budaya&lt;/i&gt; 13, no. 2 (2019)."},"properties":{"noteIndex":18},"schema":"https://github.com/citation-style-language/schema/raw/master/csl-citation.json"}</w:instrText>
      </w:r>
      <w:r w:rsidRPr="007F2884">
        <w:rPr>
          <w:rFonts w:ascii="Cambria" w:hAnsi="Cambria"/>
        </w:rPr>
        <w:fldChar w:fldCharType="separate"/>
      </w:r>
      <w:r w:rsidRPr="007F2884">
        <w:rPr>
          <w:rFonts w:ascii="Cambria" w:hAnsi="Cambria"/>
          <w:noProof/>
        </w:rPr>
        <w:t xml:space="preserve">Najib Jauharia &amp; Siti Malikhah Towaf, “Kesetaraan Gender Di Pesantren Dalam Kajian Literatur,” </w:t>
      </w:r>
      <w:r w:rsidRPr="007F2884">
        <w:rPr>
          <w:rFonts w:ascii="Cambria" w:hAnsi="Cambria"/>
          <w:i/>
          <w:noProof/>
        </w:rPr>
        <w:t>Sejarah Dan Budaya</w:t>
      </w:r>
      <w:r w:rsidRPr="007F2884">
        <w:rPr>
          <w:rFonts w:ascii="Cambria" w:hAnsi="Cambria"/>
          <w:noProof/>
        </w:rPr>
        <w:t xml:space="preserve"> 13, no. 2 (2019).</w:t>
      </w:r>
      <w:r w:rsidRPr="007F2884">
        <w:rPr>
          <w:rFonts w:ascii="Cambria" w:hAnsi="Cambria"/>
        </w:rPr>
        <w:fldChar w:fldCharType="end"/>
      </w:r>
    </w:p>
  </w:footnote>
  <w:footnote w:id="19">
    <w:p w14:paraId="7572CC3B"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{"citationItems":[{"id":"ITEM-1","itemData":{"author":[{"dropping-particle":"","family":"Luthfi Salim","given":"","non-dropping-particle":"","parse-names":false,"suffix":""}],"container-title":"Sosio Religia: Jurnal Sosiologi Agama","id":"ITEM-1","issue":"2","issued":{"date-parts":[["2020"]]},"title":"Kontruksi Sosial Gender Di Pesantren Studi Kesenjangan antara Laki-Laki dengan Perempuan","type":"article-journal","volume":"1"},"uris":["http://www.mendeley.com/documents/?uuid=94fc2a21-ae1f-4161-b236-d245e8b566a4"]}],"mendeley":{"formattedCitation":"Luthfi Salim, “Kontruksi Sosial Gender Di Pesantren Studi Kesenjangan Antara Laki-Laki Dengan Perempuan,” &lt;i&gt;Sosio Religia: Jurnal Sosiologi Agama&lt;/i&gt; 1, no. 2 (2020).","plainTextFormattedCitation":"Luthfi Salim, “Kontruksi Sosial Gender Di Pesantren Studi Kesenjangan Antara Laki-Laki Dengan Perempuan,” Sosio Religia: Jurnal Sosiologi Agama 1, no. 2 (2020).","previouslyFormattedCitation":"Luthfi Salim, “Kontruksi Sosial Gender Di Pesantren Studi Kesenjangan Antara Laki-Laki Dengan Perempuan,” &lt;i&gt;Sosio Religia: Jurnal Sosiologi Agama&lt;/i&gt; 1, no. 2 (2020)."},"properties":{"noteIndex":19},"schema":"https://github.com/citation-style-language/schema/raw/master/csl-citation.json"}</w:instrText>
      </w:r>
      <w:r w:rsidRPr="007F2884">
        <w:rPr>
          <w:rFonts w:ascii="Cambria" w:hAnsi="Cambria"/>
        </w:rPr>
        <w:fldChar w:fldCharType="separate"/>
      </w:r>
      <w:r w:rsidRPr="007F2884">
        <w:rPr>
          <w:rFonts w:ascii="Cambria" w:hAnsi="Cambria"/>
          <w:noProof/>
        </w:rPr>
        <w:t xml:space="preserve">Luthfi Salim, “Kontruksi Sosial Gender Di Pesantren Studi Kesenjangan Antara Laki-Laki Dengan Perempuan,” </w:t>
      </w:r>
      <w:r w:rsidRPr="007F2884">
        <w:rPr>
          <w:rFonts w:ascii="Cambria" w:hAnsi="Cambria"/>
          <w:i/>
          <w:noProof/>
        </w:rPr>
        <w:t>Sosio Religia: Jurnal Sosiologi Agama</w:t>
      </w:r>
      <w:r w:rsidRPr="007F2884">
        <w:rPr>
          <w:rFonts w:ascii="Cambria" w:hAnsi="Cambria"/>
          <w:noProof/>
        </w:rPr>
        <w:t xml:space="preserve"> 1, no. 2 (2020).</w:t>
      </w:r>
      <w:r w:rsidRPr="007F2884">
        <w:rPr>
          <w:rFonts w:ascii="Cambria" w:hAnsi="Cambria"/>
        </w:rPr>
        <w:fldChar w:fldCharType="end"/>
      </w:r>
    </w:p>
  </w:footnote>
  <w:footnote w:id="20">
    <w:p w14:paraId="5011EBEB"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{"citationItems":[{"id":"ITEM-1","itemData":{"author":[{"dropping-particle":"","family":"Ani Kurniawati &amp; Evi Muafiah","given":"","non-dropping-particle":"","parse-names":false,"suffix":""}],"container-title":"Excelencia: Journal of Islamic Education &amp; Management","id":"ITEM-1","issue":"1","issued":{"date-parts":[["2023"]]},"title":"Kesetaraan dan Keadilan Gender dalam Lingkungan Pesantren","type":"article-journal","volume":"3"},"uris":["http://www.mendeley.com/documents/?uuid=80b983e7-46fd-47a0-8381-06bb917917bb"]}],"mendeley":{"formattedCitation":"Ani Kurniawati &amp; Evi Muafiah, “Kesetaraan Dan Keadilan Gender Dalam Lingkungan Pesantren,” &lt;i&gt;Excelencia: Journal of Islamic Education &amp; Management&lt;/i&gt; 3, no. 1 (2023).","plainTextFormattedCitation":"Ani Kurniawati &amp; Evi Muafiah, “Kesetaraan Dan Keadilan Gender Dalam Lingkungan Pesantren,” Excelencia: Journal of Islamic Education &amp; Management 3, no. 1 (2023).","previouslyFormattedCitation":"Ani Kurniawati &amp; Evi Muafiah, “Kesetaraan Dan Keadilan Gender Dalam Lingkungan Pesantren,” &lt;i&gt;Excelencia: Journal of Islamic Education &amp; Management&lt;/i&gt; 3, no. 1 (2023)."},"properties":{"noteIndex":20},"schema":"https://github.com/citation-style-language/schema/raw/master/csl-citation.json"}</w:instrText>
      </w:r>
      <w:r w:rsidRPr="007F2884">
        <w:rPr>
          <w:rFonts w:ascii="Cambria" w:hAnsi="Cambria"/>
        </w:rPr>
        <w:fldChar w:fldCharType="separate"/>
      </w:r>
      <w:r w:rsidRPr="007F2884">
        <w:rPr>
          <w:rFonts w:ascii="Cambria" w:hAnsi="Cambria"/>
          <w:noProof/>
        </w:rPr>
        <w:t xml:space="preserve">Ani Kurniawati &amp; Evi Muafiah, “Kesetaraan Dan Keadilan Gender Dalam Lingkungan Pesantren,” </w:t>
      </w:r>
      <w:r w:rsidRPr="007F2884">
        <w:rPr>
          <w:rFonts w:ascii="Cambria" w:hAnsi="Cambria"/>
          <w:i/>
          <w:noProof/>
        </w:rPr>
        <w:t>Excelencia: Journal of Islamic Education &amp; Management</w:t>
      </w:r>
      <w:r w:rsidRPr="007F2884">
        <w:rPr>
          <w:rFonts w:ascii="Cambria" w:hAnsi="Cambria"/>
          <w:noProof/>
        </w:rPr>
        <w:t xml:space="preserve"> 3, no. 1 (2023).</w:t>
      </w:r>
      <w:r w:rsidRPr="007F2884">
        <w:rPr>
          <w:rFonts w:ascii="Cambria" w:hAnsi="Cambria"/>
        </w:rPr>
        <w:fldChar w:fldCharType="end"/>
      </w:r>
    </w:p>
  </w:footnote>
  <w:footnote w:id="21">
    <w:p w14:paraId="5A947335"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{"citationItems":[{"id":"ITEM-1","itemData":{"author":[{"dropping-particle":"","family":"E. Malihah, S. Nurbayani, Wilodati, PWulandari, M.F. Husaeni, R. Hartono, S.B. Agista, S.A. Rahmah","given":"&amp; Y.A. Kesumah","non-dropping-particle":"","parse-names":false,"suffix":""}],"container-title":"Komunitas: International Journal of Indonesian Society and Culture","id":"ITEM-1","issue":"1","issued":{"date-parts":[["2023"]]},"title":"Islamic Boarding School Based on Women’s Empowerment and Equality","type":"article-journal","volume":"15"},"uris":["http://www.mendeley.com/documents/?uuid=86aa86d3-f61d-47d2-8e62-eb9d5496fae3"]}],"mendeley":{"formattedCitation":"&amp; Y.A. Kesumah E. Malihah, S. Nurbayani, Wilodati, PWulandari, M.F. Husaeni, R. Hartono, S.B. Agista, S.A. Rahmah, “Islamic Boarding School Based on Women’s Empowerment and Equality,” &lt;i&gt;Komunitas: International Journal of Indonesian Society and Culture&lt;/i&gt; 15, no. 1 (2023).","manualFormatting":"E. Malihah, S. Nurbayani, Wilodati, PWulandari, M.F. Husaeni, R. Hartono, S.B. Agista, S.A. Rahmah, &amp; Y.A. Kesumah, “Islamic Boarding School Based on Women’s Empowerment and Equality,” Komunitas: International Journal of Indonesian Society and Culture 15, no. 1 (2023).","plainTextFormattedCitation":"&amp; Y.A. Kesumah E. Malihah, S. Nurbayani, Wilodati, PWulandari, M.F. Husaeni, R. Hartono, S.B. Agista, S.A. Rahmah, “Islamic Boarding School Based on Women’s Empowerment and Equality,” Komunitas: International Journal of Indonesian Society and Culture 15, no. 1 (2023).","previouslyFormattedCitation":"&amp; Y.A. Kesumah E. Malihah, S. Nurbayani, Wilodati, PWulandari, M.F. Husaeni, R. Hartono, S.B. Agista, S.A. Rahmah, “Islamic Boarding School Based on Women’s Empowerment and Equality,” &lt;i&gt;Komunitas: International Journal of Indonesian Society and Culture&lt;/i&gt; 15, no. 1 (2023)."},"properties":{"noteIndex":21},"schema":"https://github.com/citation-style-language/schema/raw/master/csl-citation.json"}</w:instrText>
      </w:r>
      <w:r w:rsidRPr="007F2884">
        <w:rPr>
          <w:rFonts w:ascii="Cambria" w:hAnsi="Cambria"/>
        </w:rPr>
        <w:fldChar w:fldCharType="separate"/>
      </w:r>
      <w:r w:rsidRPr="007F2884">
        <w:rPr>
          <w:rFonts w:ascii="Cambria" w:hAnsi="Cambria"/>
          <w:noProof/>
        </w:rPr>
        <w:t xml:space="preserve">E. Malihah, S. Nurbayani, Wilodati, PWulandari, M.F. Husaeni, R. Hartono, S.B. Agista, S.A. Rahmah, &amp; Y.A. Kesumah, “Islamic Boarding School Based on Women’s Empowerment and Equality,” </w:t>
      </w:r>
      <w:r w:rsidRPr="007F2884">
        <w:rPr>
          <w:rFonts w:ascii="Cambria" w:hAnsi="Cambria"/>
          <w:i/>
          <w:noProof/>
        </w:rPr>
        <w:t>Komunitas: International Journal of Indonesian Society and Culture</w:t>
      </w:r>
      <w:r w:rsidRPr="007F2884">
        <w:rPr>
          <w:rFonts w:ascii="Cambria" w:hAnsi="Cambria"/>
          <w:noProof/>
        </w:rPr>
        <w:t xml:space="preserve"> 15, no. 1 (2023).</w:t>
      </w:r>
      <w:r w:rsidRPr="007F2884">
        <w:rPr>
          <w:rFonts w:ascii="Cambria" w:hAnsi="Cambria"/>
        </w:rPr>
        <w:fldChar w:fldCharType="end"/>
      </w:r>
    </w:p>
  </w:footnote>
  <w:footnote w:id="22">
    <w:p w14:paraId="0C14941F"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{"citationItems":[{"id":"ITEM-1","itemData":{"author":[{"dropping-particle":"","family":"Noeng Muhajir","given":"","non-dropping-particle":"","parse-names":false,"suffix":""}],"id":"ITEM-1","issued":{"date-parts":[["2013"]]},"publisher":"Roke Sasarin","publisher-place":"Yogyakarta","title":"Metodologi Penelitian Kualitatif","type":"book"},"uris":["http://www.mendeley.com/documents/?uuid=3c369aed-b75d-4c30-b1cb-d01bb4162a63"]}],"mendeley":{"formattedCitation":"Noeng Muhajir, &lt;i&gt;Metodologi Penelitian Kualitatif&lt;/i&gt; (Yogyakarta: Roke Sasarin, 2013).","plainTextFormattedCitation":"Noeng Muhajir, Metodologi Penelitian Kualitatif (Yogyakarta: Roke Sasarin, 2013).","previouslyFormattedCitation":"Noeng Muhajir, &lt;i&gt;Metodologi Penelitian Kualitatif&lt;/i&gt; (Yogyakarta: Roke Sasarin, 2013)."},"properties":{"noteIndex":22},"schema":"https://github.com/citation-style-language/schema/raw/master/csl-citation.json"}</w:instrText>
      </w:r>
      <w:r w:rsidRPr="007F2884">
        <w:rPr>
          <w:rFonts w:ascii="Cambria" w:hAnsi="Cambria"/>
        </w:rPr>
        <w:fldChar w:fldCharType="separate"/>
      </w:r>
      <w:r w:rsidRPr="007F2884">
        <w:rPr>
          <w:rFonts w:ascii="Cambria" w:hAnsi="Cambria"/>
          <w:noProof/>
        </w:rPr>
        <w:t xml:space="preserve">Noeng Muhajir, </w:t>
      </w:r>
      <w:r w:rsidRPr="007F2884">
        <w:rPr>
          <w:rFonts w:ascii="Cambria" w:hAnsi="Cambria"/>
          <w:i/>
          <w:noProof/>
        </w:rPr>
        <w:t>Metodologi Penelitian Kualitatif</w:t>
      </w:r>
      <w:r w:rsidRPr="007F2884">
        <w:rPr>
          <w:rFonts w:ascii="Cambria" w:hAnsi="Cambria"/>
          <w:noProof/>
        </w:rPr>
        <w:t xml:space="preserve"> (Yogyakarta: Roke Sasarin, 2013).</w:t>
      </w:r>
      <w:r w:rsidRPr="007F2884">
        <w:rPr>
          <w:rFonts w:ascii="Cambria" w:hAnsi="Cambria"/>
        </w:rPr>
        <w:fldChar w:fldCharType="end"/>
      </w:r>
    </w:p>
  </w:footnote>
  <w:footnote w:id="23">
    <w:p w14:paraId="0C8310E7"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{"citationItems":[{"id":"ITEM-1","itemData":{"author":[{"dropping-particle":"","family":"D'Jam'an Satori","given":"","non-dropping-particle":"","parse-names":false,"suffix":""}],"id":"ITEM-1","issued":{"date-parts":[["2011"]]},"number-of-pages":"28","publisher":"Alfabeta","publisher-place":"Bandung","title":"Metode Penelitian Kualitatif","type":"book"},"uris":["http://www.mendeley.com/documents/?uuid=bd812528-adde-48db-834b-a82f6f28abcd"]}],"mendeley":{"formattedCitation":"D’Jam’an Satori, &lt;i&gt;Metode Penelitian Kualitatif&lt;/i&gt; (Bandung: Alfabeta, 2011).","plainTextFormattedCitation":"D’Jam’an Satori, Metode Penelitian Kualitatif (Bandung: Alfabeta, 2011).","previouslyFormattedCitation":"D’Jam’an Satori, &lt;i&gt;Metode Penelitian Kualitatif&lt;/i&gt; (Bandung: Alfabeta, 2011)."},"properties":{"noteIndex":23},"schema":"https://github.com/citation-style-language/schema/raw/master/csl-citation.json"}</w:instrText>
      </w:r>
      <w:r w:rsidRPr="007F2884">
        <w:rPr>
          <w:rFonts w:ascii="Cambria" w:hAnsi="Cambria"/>
        </w:rPr>
        <w:fldChar w:fldCharType="separate"/>
      </w:r>
      <w:r w:rsidRPr="007F2884">
        <w:rPr>
          <w:rFonts w:ascii="Cambria" w:hAnsi="Cambria"/>
          <w:noProof/>
        </w:rPr>
        <w:t xml:space="preserve">D’Jam’an Satori, </w:t>
      </w:r>
      <w:r w:rsidRPr="007F2884">
        <w:rPr>
          <w:rFonts w:ascii="Cambria" w:hAnsi="Cambria"/>
          <w:i/>
          <w:noProof/>
        </w:rPr>
        <w:t>Metode Penelitian Kualitatif</w:t>
      </w:r>
      <w:r w:rsidRPr="007F2884">
        <w:rPr>
          <w:rFonts w:ascii="Cambria" w:hAnsi="Cambria"/>
          <w:noProof/>
        </w:rPr>
        <w:t xml:space="preserve"> (Bandung: Alfabeta, 2011).</w:t>
      </w:r>
      <w:r w:rsidRPr="007F2884">
        <w:rPr>
          <w:rFonts w:ascii="Cambria" w:hAnsi="Cambria"/>
        </w:rPr>
        <w:fldChar w:fldCharType="end"/>
      </w:r>
    </w:p>
  </w:footnote>
  <w:footnote w:id="24">
    <w:p w14:paraId="1B2C24C5"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{"citationItems":[{"id":"ITEM-1","itemData":{"author":[{"dropping-particle":"","family":"Lexy J. Meleong","given":"","non-dropping-particle":"","parse-names":false,"suffix":""}],"id":"ITEM-1","issued":{"date-parts":[["1996"]]},"publisher":"Remaja Rosdakarya","publisher-place":"Bandung","title":"Metode Penelitian Kualitatif","type":"book"},"uris":["http://www.mendeley.com/documents/?uuid=a170c51f-d1c9-4ea4-b458-6864136d2d8c"]}],"mendeley":{"formattedCitation":"Lexy J. Meleong, &lt;i&gt;Metode Penelitian Kualitatif&lt;/i&gt; (Bandung: Remaja Rosdakarya, 1996).","plainTextFormattedCitation":"Lexy J. Meleong, Metode Penelitian Kualitatif (Bandung: Remaja Rosdakarya, 1996).","previouslyFormattedCitation":"Lexy J. Meleong, &lt;i&gt;Metode Penelitian Kualitatif&lt;/i&gt; (Bandung: Remaja Rosdakarya, 1996)."},"properties":{"noteIndex":24},"schema":"https://github.com/citation-style-language/schema/raw/master/csl-citation.json"}</w:instrText>
      </w:r>
      <w:r w:rsidRPr="007F2884">
        <w:rPr>
          <w:rFonts w:ascii="Cambria" w:hAnsi="Cambria"/>
        </w:rPr>
        <w:fldChar w:fldCharType="separate"/>
      </w:r>
      <w:r w:rsidRPr="007F2884">
        <w:rPr>
          <w:rFonts w:ascii="Cambria" w:hAnsi="Cambria"/>
          <w:noProof/>
        </w:rPr>
        <w:t xml:space="preserve">Lexy J. Meleong, </w:t>
      </w:r>
      <w:r w:rsidRPr="007F2884">
        <w:rPr>
          <w:rFonts w:ascii="Cambria" w:hAnsi="Cambria"/>
          <w:i/>
          <w:noProof/>
        </w:rPr>
        <w:t>Metode Penelitian Kualitatif</w:t>
      </w:r>
      <w:r w:rsidRPr="007F2884">
        <w:rPr>
          <w:rFonts w:ascii="Cambria" w:hAnsi="Cambria"/>
          <w:noProof/>
        </w:rPr>
        <w:t xml:space="preserve"> (Bandung: Remaja Rosdakarya, 1996).</w:t>
      </w:r>
      <w:r w:rsidRPr="007F2884">
        <w:rPr>
          <w:rFonts w:ascii="Cambria" w:hAnsi="Cambria"/>
        </w:rPr>
        <w:fldChar w:fldCharType="end"/>
      </w:r>
    </w:p>
  </w:footnote>
  <w:footnote w:id="25">
    <w:p w14:paraId="4B17E70F"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{"citationItems":[{"id":"ITEM-1","itemData":{"author":[{"dropping-particle":"","family":"Akhmad Arif Junaidi","given":"","non-dropping-particle":"","parse-names":false,"suffix":""}],"container-title":"SAWWA: Jurnal Studi Gender","id":"ITEM-1","issue":"1","issued":{"date-parts":[["2023"]]},"page":"1-24","title":"Kongres Ulama Perempuan Indonesia (KUPI) and Mubādalah Approach in Interpreting the Gender Biased Qur'anic Verses","type":"article-journal","volume":"18"},"uris":["http://www.mendeley.com/documents/?uuid=56574045-df3e-4eb2-883f-9b5d78e2b3da"]}],"mendeley":{"formattedCitation":"Akhmad Arif Junaidi, “Kongres Ulama Perempuan Indonesia (KUPI) and Mubādalah Approach in Interpreting the Gender Biased Qur’anic Verses,” &lt;i&gt;SAWWA: Jurnal Studi Gender&lt;/i&gt; 18, no. 1 (2023): 1–24.","plainTextFormattedCitation":"Akhmad Arif Junaidi, “Kongres Ulama Perempuan Indonesia (KUPI) and Mubādalah Approach in Interpreting the Gender Biased Qur’anic Verses,” SAWWA: Jurnal Studi Gender 18, no. 1 (2023): 1–24.","previouslyFormattedCitation":"Akhmad Arif Junaidi, “Kongres Ulama Perempuan Indonesia (KUPI) and Mubādalah Approach in Interpreting the Gender Biased Qur’anic Verses,” &lt;i&gt;SAWWA: Jurnal Studi Gender&lt;/i&gt; 18, no. 1 (2023): 1–24."},"properties":{"noteIndex":25},"schema":"https://github.com/citation-style-language/schema/raw/master/csl-citation.json"}</w:instrText>
      </w:r>
      <w:r w:rsidRPr="007F2884">
        <w:rPr>
          <w:rFonts w:ascii="Cambria" w:hAnsi="Cambria"/>
        </w:rPr>
        <w:fldChar w:fldCharType="separate"/>
      </w:r>
      <w:r w:rsidRPr="007F2884">
        <w:rPr>
          <w:rFonts w:ascii="Cambria" w:hAnsi="Cambria"/>
          <w:noProof/>
        </w:rPr>
        <w:t xml:space="preserve">Akhmad Arif Junaidi, “Kongres Ulama Perempuan Indonesia (KUPI) and Mubādalah Approach in Interpreting the Gender Biased Qur’anic Verses,” </w:t>
      </w:r>
      <w:r w:rsidRPr="007F2884">
        <w:rPr>
          <w:rFonts w:ascii="Cambria" w:hAnsi="Cambria"/>
          <w:i/>
          <w:noProof/>
        </w:rPr>
        <w:t>SAWWA: Jurnal Studi Gender</w:t>
      </w:r>
      <w:r w:rsidRPr="007F2884">
        <w:rPr>
          <w:rFonts w:ascii="Cambria" w:hAnsi="Cambria"/>
          <w:noProof/>
        </w:rPr>
        <w:t xml:space="preserve"> 18, no. 1 (2023): 1–24.</w:t>
      </w:r>
      <w:r w:rsidRPr="007F2884">
        <w:rPr>
          <w:rFonts w:ascii="Cambria" w:hAnsi="Cambria"/>
        </w:rPr>
        <w:fldChar w:fldCharType="end"/>
      </w:r>
    </w:p>
  </w:footnote>
  <w:footnote w:id="26">
    <w:p w14:paraId="6F0806AF"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{"citationItems":[{"id":"ITEM-1","itemData":{"author":[{"dropping-particle":"","family":"Jaru Arbain, Nur Azizah","given":"Ika Novita Sari","non-dropping-particle":"","parse-names":false,"suffix":""}],"container-title":"SAWWA: Jurnal Studi Gender","id":"ITEM-1","issue":"1","issued":{"date-parts":[["2015"]]},"page":"75-76","title":"Pemikiran Gender Menurut Para AhliI: Telaah atas Pemikiran Amina Wadud Muhsin, Asghar Ali Engineer, dan Mansour Fakih","type":"article-journal","volume":"11"},"uris":["http://www.mendeley.com/documents/?uuid=91dd272b-6e6b-44a2-91d3-608bad68bedd"]}],"mendeley":{"formattedCitation":"Ika Novita Sari Jaru Arbain, Nur Azizah, “Pemikiran Gender Menurut Para AhliI: Telaah Atas Pemikiran Amina Wadud Muhsin, Asghar Ali Engineer, Dan Mansour Fakih,” &lt;i&gt;SAWWA: Jurnal Studi Gender&lt;/i&gt; 11, no. 1 (2015): 75–76.","plainTextFormattedCitation":"Ika Novita Sari Jaru Arbain, Nur Azizah, “Pemikiran Gender Menurut Para AhliI: Telaah Atas Pemikiran Amina Wadud Muhsin, Asghar Ali Engineer, Dan Mansour Fakih,” SAWWA: Jurnal Studi Gender 11, no. 1 (2015): 75–76.","previouslyFormattedCitation":"Ika Novita Sari Jaru Arbain, Nur Azizah, “Pemikiran Gender Menurut Para AhliI: Telaah Atas Pemikiran Amina Wadud Muhsin, Asghar Ali Engineer, Dan Mansour Fakih,” &lt;i&gt;SAWWA: Jurnal Studi Gender&lt;/i&gt; 11, no. 1 (2015): 75–76."},"properties":{"noteIndex":26},"schema":"https://github.com/citation-style-language/schema/raw/master/csl-citation.json"}</w:instrText>
      </w:r>
      <w:r w:rsidRPr="007F2884">
        <w:rPr>
          <w:rFonts w:ascii="Cambria" w:hAnsi="Cambria"/>
        </w:rPr>
        <w:fldChar w:fldCharType="separate"/>
      </w:r>
      <w:r w:rsidRPr="007F2884">
        <w:rPr>
          <w:rFonts w:ascii="Cambria" w:hAnsi="Cambria"/>
          <w:noProof/>
        </w:rPr>
        <w:t xml:space="preserve">Ika Novita Sari Jaru Arbain, Nur Azizah, “Pemikiran Gender Menurut Para AhliI: Telaah Atas Pemikiran Amina Wadud Muhsin, Asghar Ali Engineer, Dan Mansour Fakih,” </w:t>
      </w:r>
      <w:r w:rsidRPr="007F2884">
        <w:rPr>
          <w:rFonts w:ascii="Cambria" w:hAnsi="Cambria"/>
          <w:i/>
          <w:noProof/>
        </w:rPr>
        <w:t>SAWWA: Jurnal Studi Gender</w:t>
      </w:r>
      <w:r w:rsidRPr="007F2884">
        <w:rPr>
          <w:rFonts w:ascii="Cambria" w:hAnsi="Cambria"/>
          <w:noProof/>
        </w:rPr>
        <w:t xml:space="preserve"> 11, no. 1 (2015): 75–76.</w:t>
      </w:r>
      <w:r w:rsidRPr="007F2884">
        <w:rPr>
          <w:rFonts w:ascii="Cambria" w:hAnsi="Cambria"/>
        </w:rPr>
        <w:fldChar w:fldCharType="end"/>
      </w:r>
    </w:p>
  </w:footnote>
  <w:footnote w:id="27">
    <w:p w14:paraId="21F5586B"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Hasil Penelitian di Pondok Pesantren Darunnajah Tulungagung, Pondok Pesantren Al Kamal Blitar, dan Pondok Pesantren Bahrul Ulum Tambakberas Jombang, Juni-Agustus 2024.</w:t>
      </w:r>
    </w:p>
  </w:footnote>
  <w:footnote w:id="28">
    <w:p w14:paraId="5C4DC9A0"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{"citationItems":[{"id":"ITEM-1","itemData":{"author":[{"dropping-particle":"","family":"Ahmad Muhtadi Anshor &amp; Muhammad Ngizzul Muttaqin","given":"","non-dropping-particle":"","parse-names":false,"suffix":""}],"container-title":"Islamadina: Jurnal Pemikiran Islam","id":"ITEM-1","issue":"2","issued":{"date-parts":[["2023"]]},"title":"Fiqih Emansipasi: Menguatkan Kembali Posisi Perempuan dalam Keluarga","type":"article-journal","volume":"24"},"uris":["http://www.mendeley.com/documents/?uuid=6112eb8f-8b8b-466e-b933-aa3d3e713e12"]}],"mendeley":{"formattedCitation":"Ahmad Muhtadi Anshor &amp; Muhammad Ngizzul Muttaqin, “Fiqih Emansipasi: Menguatkan Kembali Posisi Perempuan Dalam Keluarga,” &lt;i&gt;Islamadina: Jurnal Pemikiran Islam&lt;/i&gt; 24, no. 2 (2023).","plainTextFormattedCitation":"Ahmad Muhtadi Anshor &amp; Muhammad Ngizzul Muttaqin, “Fiqih Emansipasi: Menguatkan Kembali Posisi Perempuan Dalam Keluarga,” Islamadina: Jurnal Pemikiran Islam 24, no. 2 (2023).","previouslyFormattedCitation":"Ahmad Muhtadi Anshor &amp; Muhammad Ngizzul Muttaqin, “Fiqih Emansipasi: Menguatkan Kembali Posisi Perempuan Dalam Keluarga,” &lt;i&gt;Islamadina: Jurnal Pemikiran Islam&lt;/i&gt; 24, no. 2 (2023)."},"properties":{"noteIndex":28},"schema":"https://github.com/citation-style-language/schema/raw/master/csl-citation.json"}</w:instrText>
      </w:r>
      <w:r w:rsidRPr="007F2884">
        <w:rPr>
          <w:rFonts w:ascii="Cambria" w:hAnsi="Cambria"/>
        </w:rPr>
        <w:fldChar w:fldCharType="separate"/>
      </w:r>
      <w:r w:rsidRPr="007F2884">
        <w:rPr>
          <w:rFonts w:ascii="Cambria" w:hAnsi="Cambria"/>
          <w:noProof/>
        </w:rPr>
        <w:t xml:space="preserve">Ahmad Muhtadi Anshor &amp; Muhammad Ngizzul Muttaqin, “Fiqih Emansipasi: Menguatkan Kembali Posisi Perempuan Dalam Keluarga,” </w:t>
      </w:r>
      <w:r w:rsidRPr="007F2884">
        <w:rPr>
          <w:rFonts w:ascii="Cambria" w:hAnsi="Cambria"/>
          <w:i/>
          <w:noProof/>
        </w:rPr>
        <w:t>Islamadina: Jurnal Pemikiran Islam</w:t>
      </w:r>
      <w:r w:rsidRPr="007F2884">
        <w:rPr>
          <w:rFonts w:ascii="Cambria" w:hAnsi="Cambria"/>
          <w:noProof/>
        </w:rPr>
        <w:t xml:space="preserve"> 24, no. 2 (2023).</w:t>
      </w:r>
      <w:r w:rsidRPr="007F2884">
        <w:rPr>
          <w:rFonts w:ascii="Cambria" w:hAnsi="Cambria"/>
        </w:rPr>
        <w:fldChar w:fldCharType="end"/>
      </w:r>
    </w:p>
  </w:footnote>
  <w:footnote w:id="29">
    <w:p w14:paraId="2F3CE747"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{"citationItems":[{"id":"ITEM-1","itemData":{"author":[{"dropping-particle":"","family":"Muhammad Ngizzul Muttaqin, Miftah Rosadi","given":"Arif Nur’aini","non-dropping-particle":"","parse-names":false,"suffix":""}],"container-title":"Raheema: Jurnal Studi Gender dan Anak","id":"ITEM-1","issue":"2","issued":{"date-parts":[["2021"]]},"title":"Fiqih Emansipatoris: Membangun Metodologi Fiqih Pembebasan Bagi Perempuan","type":"article-journal","volume":"8"},"uris":["http://www.mendeley.com/documents/?uuid=755eb38f-7eb2-4c5a-a73d-c916048a9c11"]}],"mendeley":{"formattedCitation":"Muhammad Ngizzul Muttaqin, Miftah Rosadi, “Fiqih Emansipatoris: Membangun Metodologi Fiqih Pembebasan Bagi Perempuan.”","plainTextFormattedCitation":"Muhammad Ngizzul Muttaqin, Miftah Rosadi, “Fiqih Emansipatoris: Membangun Metodologi Fiqih Pembebasan Bagi Perempuan.”","previouslyFormattedCitation":"Muhammad Ngizzul Muttaqin, Miftah Rosadi, “Fiqih Emansipatoris: Membangun Metodologi Fiqih Pembebasan Bagi Perempuan.”"},"properties":{"noteIndex":29},"schema":"https://github.com/citation-style-language/schema/raw/master/csl-citation.json"}</w:instrText>
      </w:r>
      <w:r w:rsidRPr="007F2884">
        <w:rPr>
          <w:rFonts w:ascii="Cambria" w:hAnsi="Cambria"/>
        </w:rPr>
        <w:fldChar w:fldCharType="separate"/>
      </w:r>
      <w:r w:rsidRPr="007F2884">
        <w:rPr>
          <w:rFonts w:ascii="Cambria" w:hAnsi="Cambria"/>
          <w:noProof/>
        </w:rPr>
        <w:t>Muhammad Ngizzul Muttaqin, Miftah Rosadi, “Fiqih Emansipatoris: Membangun Metodologi Fiqih Pembebasan Bagi Perempuan.”</w:t>
      </w:r>
      <w:r w:rsidRPr="007F2884">
        <w:rPr>
          <w:rFonts w:ascii="Cambria" w:hAnsi="Cambria"/>
        </w:rPr>
        <w:fldChar w:fldCharType="end"/>
      </w:r>
    </w:p>
  </w:footnote>
  <w:footnote w:id="30">
    <w:p w14:paraId="4E8154B3"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Lihat dalam </w:t>
      </w:r>
      <w:r w:rsidRPr="007F2884">
        <w:rPr>
          <w:rFonts w:ascii="Cambria" w:hAnsi="Cambria"/>
        </w:rPr>
        <w:fldChar w:fldCharType="begin" w:fldLock="1"/>
      </w:r>
      <w:r w:rsidRPr="007F2884">
        <w:rPr>
          <w:rFonts w:ascii="Cambria" w:hAnsi="Cambria"/>
        </w:rPr>
        <w:instrText>ADDIN CSL_CITATION {"citationItems":[{"id":"ITEM-1","itemData":{"DOI":"10.1080/09584935.2021.2021859","author":[{"dropping-particle":"","family":"Patricia Jeffery &amp; Kaveri Qureshi","given":"","non-dropping-particle":"","parse-names":false,"suffix":""}],"container-title":"Contemporary South Asia","id":"ITEM-1","issue":"1","issued":{"date-parts":[["2022"]]},"title":"Muslim Woman/Muslim women: lived experiences beyond religion and gender in South Asia and its diasporas","type":"article-journal","volume":"30"},"uris":["http://www.mendeley.com/documents/?uuid=33af524c-f765-4d04-93a5-7d7efdc8e367"]}],"mendeley":{"formattedCitation":"Patricia Jeffery &amp; Kaveri Qureshi, “Muslim Woman/Muslim Women: Lived Experiences beyond Religion and Gender in South Asia and Its Diasporas,” &lt;i&gt;Contemporary South Asia&lt;/i&gt; 30, no. 1 (2022), https://doi.org/10.1080/09584935.2021.2021859.","plainTextFormattedCitation":"Patricia Jeffery &amp; Kaveri Qureshi, “Muslim Woman/Muslim Women: Lived Experiences beyond Religion and Gender in South Asia and Its Diasporas,” Contemporary South Asia 30, no. 1 (2022), https://doi.org/10.1080/09584935.2021.2021859.","previouslyFormattedCitation":"Patricia Jeffery &amp; Kaveri Qureshi, “Muslim Woman/Muslim Women: Lived Experiences beyond Religion and Gender in South Asia and Its Diasporas,” &lt;i&gt;Contemporary South Asia&lt;/i&gt; 30, no. 1 (2022), https://doi.org/10.1080/09584935.2021.2021859."},"properties":{"noteIndex":30},"schema":"https://github.com/citation-style-language/schema/raw/master/csl-citation.json"}</w:instrText>
      </w:r>
      <w:r w:rsidRPr="007F2884">
        <w:rPr>
          <w:rFonts w:ascii="Cambria" w:hAnsi="Cambria"/>
        </w:rPr>
        <w:fldChar w:fldCharType="separate"/>
      </w:r>
      <w:r w:rsidRPr="007F2884">
        <w:rPr>
          <w:rFonts w:ascii="Cambria" w:hAnsi="Cambria"/>
          <w:noProof/>
        </w:rPr>
        <w:t xml:space="preserve">Patricia Jeffery &amp; Kaveri Qureshi, “Muslim Woman/Muslim Women: Lived Experiences beyond Religion and Gender in South Asia and Its Diasporas,” </w:t>
      </w:r>
      <w:r w:rsidRPr="007F2884">
        <w:rPr>
          <w:rFonts w:ascii="Cambria" w:hAnsi="Cambria"/>
          <w:i/>
          <w:noProof/>
        </w:rPr>
        <w:t>Contemporary South Asia</w:t>
      </w:r>
      <w:r w:rsidRPr="007F2884">
        <w:rPr>
          <w:rFonts w:ascii="Cambria" w:hAnsi="Cambria"/>
          <w:noProof/>
        </w:rPr>
        <w:t xml:space="preserve"> 30, no. 1 (2022), https://doi.org/10.1080/09584935.2021.2021859.</w:t>
      </w:r>
      <w:r w:rsidRPr="007F2884">
        <w:rPr>
          <w:rFonts w:ascii="Cambria" w:hAnsi="Cambria"/>
        </w:rPr>
        <w:fldChar w:fldCharType="end"/>
      </w:r>
    </w:p>
  </w:footnote>
  <w:footnote w:id="31">
    <w:p w14:paraId="529B42EC"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{"citationItems":[{"id":"ITEM-1","itemData":{"author":[{"dropping-particle":"","family":"Mukhlis Latif, Muhammad Mutawalli","given":"&amp; Zulhilmi Paidi","non-dropping-particle":"","parse-names":false,"suffix":""}],"container-title":"Fikrah: Jurnal Ilmu Aqidah dan Studi Keagamaan","id":"ITEM-1","issue":"1","issued":{"date-parts":[["2023"]]},"title":"Fiqh Peradaban and the Actualization of Religious and State Life in the Modern Society","type":"article-journal","volume":"11"},"uris":["http://www.mendeley.com/documents/?uuid=a0bf3a84-967e-402d-9dc3-544a9e6714c3"]}],"mendeley":{"formattedCitation":"&amp; Zulhilmi Paidi Mukhlis Latif, Muhammad Mutawalli, “Fiqh Peradaban and the Actualization of Religious and State Life in the Modern Society,” &lt;i&gt;Fikrah: Jurnal Ilmu Aqidah Dan Studi Keagamaan&lt;/i&gt; 11, no. 1 (2023).","manualFormatting":"Mukhlis Latif, Muhammad Mutawalli, &amp; Zulhilmi Paidi, “Fiqh Peradaban and the Actualization of Religious and State Life in the Modern Society,” Fikrah: Jurnal Ilmu Aqidah Dan Studi Keagamaan 11, no. 1 (2023).","plainTextFormattedCitation":"&amp; Zulhilmi Paidi Mukhlis Latif, Muhammad Mutawalli, “Fiqh Peradaban and the Actualization of Religious and State Life in the Modern Society,” Fikrah: Jurnal Ilmu Aqidah Dan Studi Keagamaan 11, no. 1 (2023).","previouslyFormattedCitation":"&amp; Zulhilmi Paidi Mukhlis Latif, Muhammad Mutawalli, “Fiqh Peradaban and the Actualization of Religious and State Life in the Modern Society,” &lt;i&gt;Fikrah: Jurnal Ilmu Aqidah Dan Studi Keagamaan&lt;/i&gt; 11, no. 1 (2023)."},"properties":{"noteIndex":31},"schema":"https://github.com/citation-style-language/schema/raw/master/csl-citation.json"}</w:instrText>
      </w:r>
      <w:r w:rsidRPr="007F2884">
        <w:rPr>
          <w:rFonts w:ascii="Cambria" w:hAnsi="Cambria"/>
        </w:rPr>
        <w:fldChar w:fldCharType="separate"/>
      </w:r>
      <w:r w:rsidRPr="007F2884">
        <w:rPr>
          <w:rFonts w:ascii="Cambria" w:hAnsi="Cambria"/>
          <w:noProof/>
        </w:rPr>
        <w:t xml:space="preserve">Mukhlis Latif, Muhammad Mutawalli, &amp; Zulhilmi Paidi, “Fiqh Peradaban and the Actualization of Religious and State Life in the Modern Society,” </w:t>
      </w:r>
      <w:r w:rsidRPr="007F2884">
        <w:rPr>
          <w:rFonts w:ascii="Cambria" w:hAnsi="Cambria"/>
          <w:i/>
          <w:noProof/>
        </w:rPr>
        <w:t>Fikrah: Jurnal Ilmu Aqidah Dan Studi Keagamaan</w:t>
      </w:r>
      <w:r w:rsidRPr="007F2884">
        <w:rPr>
          <w:rFonts w:ascii="Cambria" w:hAnsi="Cambria"/>
          <w:noProof/>
        </w:rPr>
        <w:t xml:space="preserve"> 11, no. 1 (2023).</w:t>
      </w:r>
      <w:r w:rsidRPr="007F2884">
        <w:rPr>
          <w:rFonts w:ascii="Cambria" w:hAnsi="Cambria"/>
        </w:rPr>
        <w:fldChar w:fldCharType="end"/>
      </w:r>
    </w:p>
  </w:footnote>
  <w:footnote w:id="32">
    <w:p w14:paraId="38DACE23"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{"citationItems":[{"id":"ITEM-1","itemData":{"author":[{"dropping-particle":"","family":"Jaru Arbain, Nur Azizah","given":"Ika Novita Sari","non-dropping-particle":"","parse-names":false,"suffix":""}],"container-title":"SAWWA: Jurnal Studi Gender","id":"ITEM-1","issue":"1","issued":{"date-parts":[["2015"]]},"page":"75-76","title":"Pemikiran Gender Menurut Para AhliI: Telaah atas Pemikiran Amina Wadud Muhsin, Asghar Ali Engineer, dan Mansour Fakih","type":"article-journal","volume":"11"},"uris":["http://www.mendeley.com/documents/?uuid=91dd272b-6e6b-44a2-91d3-608bad68bedd"]}],"mendeley":{"formattedCitation":"Jaru Arbain, Nur Azizah, “Pemikiran Gender Menurut Para AhliI: Telaah Atas Pemikiran Amina Wadud Muhsin, Asghar Ali Engineer, Dan Mansour Fakih.”","plainTextFormattedCitation":"Jaru Arbain, Nur Azizah, “Pemikiran Gender Menurut Para AhliI: Telaah Atas Pemikiran Amina Wadud Muhsin, Asghar Ali Engineer, Dan Mansour Fakih.”","previouslyFormattedCitation":"Jaru Arbain, Nur Azizah, “Pemikiran Gender Menurut Para AhliI: Telaah Atas Pemikiran Amina Wadud Muhsin, Asghar Ali Engineer, Dan Mansour Fakih.”"},"properties":{"noteIndex":32},"schema":"https://github.com/citation-style-language/schema/raw/master/csl-citation.json"}</w:instrText>
      </w:r>
      <w:r w:rsidRPr="007F2884">
        <w:rPr>
          <w:rFonts w:ascii="Cambria" w:hAnsi="Cambria"/>
        </w:rPr>
        <w:fldChar w:fldCharType="separate"/>
      </w:r>
      <w:r w:rsidRPr="007F2884">
        <w:rPr>
          <w:rFonts w:ascii="Cambria" w:hAnsi="Cambria"/>
          <w:noProof/>
        </w:rPr>
        <w:t>Jaru Arbain, Nur Azizah, “Pemikiran Gender Menurut Para AhliI: Telaah Atas Pemikiran Amina Wadud Muhsin, Asghar Ali Engineer, Dan Mansour Fakih.”</w:t>
      </w:r>
      <w:r w:rsidRPr="007F2884">
        <w:rPr>
          <w:rFonts w:ascii="Cambria" w:hAnsi="Cambria"/>
        </w:rPr>
        <w:fldChar w:fldCharType="end"/>
      </w:r>
    </w:p>
  </w:footnote>
  <w:footnote w:id="33">
    <w:p w14:paraId="3D22ECE8"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{"citationItems":[{"id":"ITEM-1","itemData":{"author":[{"dropping-particle":"","family":"Jasser Auda","given":"","non-dropping-particle":"","parse-names":false,"suffix":""}],"id":"ITEM-1","issued":{"date-parts":[["2007"]]},"publisher":"the International Institut of Islamic Thougth","publisher-place":"London","title":"Maqasid al-Shariah as Philosophy of Islamic Law: A Systems Approach","type":"book"},"uris":["http://www.mendeley.com/documents/?uuid=373deff8-a5a8-4313-9298-e31c6e55ccc5"]}],"mendeley":{"formattedCitation":"Jasser Auda, &lt;i&gt;Maqasid Al-Shariah as Philosophy of Islamic Law: A Systems Approach&lt;/i&gt; (London: the International Institut of Islamic Thougth, 2007).","plainTextFormattedCitation":"Jasser Auda, Maqasid Al-Shariah as Philosophy of Islamic Law: A Systems Approach (London: the International Institut of Islamic Thougth, 2007).","previouslyFormattedCitation":"Jasser Auda, &lt;i&gt;Maqasid Al-Shariah as Philosophy of Islamic Law: A Systems Approach&lt;/i&gt; (London: the International Institut of Islamic Thougth, 2007)."},"properties":{"noteIndex":33},"schema":"https://github.com/citation-style-language/schema/raw/master/csl-citation.json"}</w:instrText>
      </w:r>
      <w:r w:rsidRPr="007F2884">
        <w:rPr>
          <w:rFonts w:ascii="Cambria" w:hAnsi="Cambria"/>
        </w:rPr>
        <w:fldChar w:fldCharType="separate"/>
      </w:r>
      <w:r w:rsidRPr="007F2884">
        <w:rPr>
          <w:rFonts w:ascii="Cambria" w:hAnsi="Cambria"/>
          <w:noProof/>
        </w:rPr>
        <w:t xml:space="preserve">Jasser Auda, </w:t>
      </w:r>
      <w:r w:rsidRPr="007F2884">
        <w:rPr>
          <w:rFonts w:ascii="Cambria" w:hAnsi="Cambria"/>
          <w:i/>
          <w:noProof/>
        </w:rPr>
        <w:t>Maqasid Al-Shariah as Philosophy of Islamic Law: A Systems Approach</w:t>
      </w:r>
      <w:r w:rsidRPr="007F2884">
        <w:rPr>
          <w:rFonts w:ascii="Cambria" w:hAnsi="Cambria"/>
          <w:noProof/>
        </w:rPr>
        <w:t xml:space="preserve"> (London: the International Institut of Islamic Thougth, 2007).</w:t>
      </w:r>
      <w:r w:rsidRPr="007F2884">
        <w:rPr>
          <w:rFonts w:ascii="Cambria" w:hAnsi="Cambria"/>
        </w:rPr>
        <w:fldChar w:fldCharType="end"/>
      </w:r>
    </w:p>
  </w:footnote>
  <w:footnote w:id="34">
    <w:p w14:paraId="7FE75219"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{"citationItems":[{"id":"ITEM-1","itemData":{"author":[{"dropping-particle":"","family":"Asmawi","given":"","non-dropping-particle":"","parse-names":false,"suffix":""}],"container-title":"Journal of Indonesian Islam","id":"ITEM-1","issue":"1","issued":{"date-parts":[["2023"]]},"title":"Murunah Ijtihad Jam'iyyah Nahdah Al-Ulama: Min Fiqh al-Hadarah ila Din al-Ishrin","type":"article-journal","volume":"17"},"uris":["http://www.mendeley.com/documents/?uuid=fcdee107-2dd1-43c9-9f72-ade485f4c19a"]}],"mendeley":{"formattedCitation":"Asmawi, “Murunah Ijtihad Jam’iyyah Nahdah Al-Ulama: Min Fiqh Al-Hadarah Ila Din Al-Ishrin.”","plainTextFormattedCitation":"Asmawi, “Murunah Ijtihad Jam’iyyah Nahdah Al-Ulama: Min Fiqh Al-Hadarah Ila Din Al-Ishrin.”","previouslyFormattedCitation":"Asmawi, “Murunah Ijtihad Jam’iyyah Nahdah Al-Ulama: Min Fiqh Al-Hadarah Ila Din Al-Ishrin.”"},"properties":{"noteIndex":34},"schema":"https://github.com/citation-style-language/schema/raw/master/csl-citation.json"}</w:instrText>
      </w:r>
      <w:r w:rsidRPr="007F2884">
        <w:rPr>
          <w:rFonts w:ascii="Cambria" w:hAnsi="Cambria"/>
        </w:rPr>
        <w:fldChar w:fldCharType="separate"/>
      </w:r>
      <w:r w:rsidRPr="007F2884">
        <w:rPr>
          <w:rFonts w:ascii="Cambria" w:hAnsi="Cambria"/>
          <w:noProof/>
        </w:rPr>
        <w:t>Asmawi, “Murunah Ijtihad Jam’iyyah Nahdah Al-Ulama: Min Fiqh Al-Hadarah Ila Din Al-Ishrin.”</w:t>
      </w:r>
      <w:r w:rsidRPr="007F2884">
        <w:rPr>
          <w:rFonts w:ascii="Cambria" w:hAnsi="Cambria"/>
        </w:rPr>
        <w:fldChar w:fldCharType="end"/>
      </w:r>
    </w:p>
  </w:footnote>
  <w:footnote w:id="35">
    <w:p w14:paraId="684596C5"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{"citationItems":[{"id":"ITEM-1","itemData":{"DOI":"10.15408/ajis.v20i2.18333","author":[{"dropping-particle":"","family":"Iffatin Nur, Syahrul Adam","given":"M. Ngizzul Muttaqien","non-dropping-particle":"","parse-names":false,"suffix":""}],"container-title":"Ahkam: Jurnal Ilmu Syariah","id":"ITEM-1","issue":"2","issued":{"date-parts":[["2020"]]},"title":"Maqasid Al-Shari'at: The Main Reference and Ethical Spiritual Foundation for the Dynamization Process of Islamic Law","type":"article-journal","volume":"20"},"uris":["http://www.mendeley.com/documents/?uuid=b7704594-1ddd-4c30-af7c-fedc4e1653f6"]}],"mendeley":{"formattedCitation":"M. Ngizzul Muttaqien Iffatin Nur, Syahrul Adam, “Maqasid Al-Shari’at: The Main Reference and Ethical Spiritual Foundation for the Dynamization Process of Islamic Law,” &lt;i&gt;Ahkam: Jurnal Ilmu Syariah&lt;/i&gt; 20, no. 2 (2020), https://doi.org/10.15408/ajis.v20i2.18333.","manualFormatting":"Iffatin Nur, Syahrul Adam, M. Ngizzul Muttaqien, “Maqasid Al-Shari’at: The Main Reference and Ethical Spiritual Foundation for the Dynamization Process of Islamic Law,” Ahkam: Jurnal Ilmu Syariah 20, no. 2 (2020).","plainTextFormattedCitation":"M. Ngizzul Muttaqien Iffatin Nur, Syahrul Adam, “Maqasid Al-Shari’at: The Main Reference and Ethical Spiritual Foundation for the Dynamization Process of Islamic Law,” Ahkam: Jurnal Ilmu Syariah 20, no. 2 (2020), https://doi.org/10.15408/ajis.v20i2.18333.","previouslyFormattedCitation":"M. Ngizzul Muttaqien Iffatin Nur, Syahrul Adam, “Maqasid Al-Shari’at: The Main Reference and Ethical Spiritual Foundation for the Dynamization Process of Islamic Law,” &lt;i&gt;Ahkam: Jurnal Ilmu Syariah&lt;/i&gt; 20, no. 2 (2020), https://doi.org/10.15408/ajis.v20i2.18333."},"properties":{"noteIndex":35},"schema":"https://github.com/citation-style-language/schema/raw/master/csl-citation.json"}</w:instrText>
      </w:r>
      <w:r w:rsidRPr="007F2884">
        <w:rPr>
          <w:rFonts w:ascii="Cambria" w:hAnsi="Cambria"/>
        </w:rPr>
        <w:fldChar w:fldCharType="separate"/>
      </w:r>
      <w:r w:rsidRPr="007F2884">
        <w:rPr>
          <w:rFonts w:ascii="Cambria" w:hAnsi="Cambria"/>
          <w:noProof/>
        </w:rPr>
        <w:t xml:space="preserve">Iffatin Nur, Syahrul Adam, M. Ngizzul Muttaqien, “Maqasid Al-Shari’at: The Main Reference and Ethical Spiritual Foundation for the Dynamization Process of Islamic Law,” </w:t>
      </w:r>
      <w:r w:rsidRPr="007F2884">
        <w:rPr>
          <w:rFonts w:ascii="Cambria" w:hAnsi="Cambria"/>
          <w:i/>
          <w:noProof/>
        </w:rPr>
        <w:t>Ahkam: Jurnal Ilmu Syariah</w:t>
      </w:r>
      <w:r w:rsidRPr="007F2884">
        <w:rPr>
          <w:rFonts w:ascii="Cambria" w:hAnsi="Cambria"/>
          <w:noProof/>
        </w:rPr>
        <w:t xml:space="preserve"> 20, no. 2 (2020).</w:t>
      </w:r>
      <w:r w:rsidRPr="007F2884">
        <w:rPr>
          <w:rFonts w:ascii="Cambria" w:hAnsi="Cambria"/>
        </w:rPr>
        <w:fldChar w:fldCharType="end"/>
      </w:r>
    </w:p>
  </w:footnote>
  <w:footnote w:id="36">
    <w:p w14:paraId="50B5EFFD"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{"citationItems":[{"id":"ITEM-1","itemData":{"author":[{"dropping-particle":"","family":"Sihabussalam","given":"","non-dropping-particle":"","parse-names":false,"suffix":""}],"container-title":"Prosiding Konferensi Integrasi Interkoneksi Islam dan Sains","id":"ITEM-1","issued":{"date-parts":[["2020"]]},"page":"35","title":"Diskursus Islam dan Sains dalam Peradaban Masyarakat Menuju Kaum Wasathiyah","type":"article-journal","volume":"2"},"uris":["http://www.mendeley.com/documents/?uuid=371e8d06-363e-468c-ad02-56e6f5cd9b77"]}],"mendeley":{"formattedCitation":"Sihabussalam, “Diskursus Islam Dan Sains Dalam Peradaban Masyarakat Menuju Kaum Wasathiyah,” &lt;i&gt;Prosiding Konferensi Integrasi Interkoneksi Islam Dan Sains&lt;/i&gt; 2 (2020): 35.","plainTextFormattedCitation":"Sihabussalam, “Diskursus Islam Dan Sains Dalam Peradaban Masyarakat Menuju Kaum Wasathiyah,” Prosiding Konferensi Integrasi Interkoneksi Islam Dan Sains 2 (2020): 35.","previouslyFormattedCitation":"Sihabussalam, “Diskursus Islam Dan Sains Dalam Peradaban Masyarakat Menuju Kaum Wasathiyah,” &lt;i&gt;Prosiding Konferensi Integrasi Interkoneksi Islam Dan Sains&lt;/i&gt; 2 (2020): 35."},"properties":{"noteIndex":36},"schema":"https://github.com/citation-style-language/schema/raw/master/csl-citation.json"}</w:instrText>
      </w:r>
      <w:r w:rsidRPr="007F2884">
        <w:rPr>
          <w:rFonts w:ascii="Cambria" w:hAnsi="Cambria"/>
        </w:rPr>
        <w:fldChar w:fldCharType="separate"/>
      </w:r>
      <w:r w:rsidRPr="007F2884">
        <w:rPr>
          <w:rFonts w:ascii="Cambria" w:hAnsi="Cambria"/>
          <w:noProof/>
        </w:rPr>
        <w:t xml:space="preserve">Sihabussalam, “Diskursus Islam Dan Sains Dalam Peradaban Masyarakat Menuju Kaum Wasathiyah,” </w:t>
      </w:r>
      <w:r w:rsidRPr="007F2884">
        <w:rPr>
          <w:rFonts w:ascii="Cambria" w:hAnsi="Cambria"/>
          <w:i/>
          <w:noProof/>
        </w:rPr>
        <w:t>Prosiding Konferensi Integrasi Interkoneksi Islam Dan Sains</w:t>
      </w:r>
      <w:r w:rsidRPr="007F2884">
        <w:rPr>
          <w:rFonts w:ascii="Cambria" w:hAnsi="Cambria"/>
          <w:noProof/>
        </w:rPr>
        <w:t xml:space="preserve"> 2 (2020): 35.</w:t>
      </w:r>
      <w:r w:rsidRPr="007F2884">
        <w:rPr>
          <w:rFonts w:ascii="Cambria" w:hAnsi="Cambria"/>
        </w:rPr>
        <w:fldChar w:fldCharType="end"/>
      </w:r>
    </w:p>
  </w:footnote>
  <w:footnote w:id="37">
    <w:p w14:paraId="6EC49061"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{"citationItems":[{"id":"ITEM-1","itemData":{"author":[{"dropping-particle":"","family":"Jamal Ma’mur Asmani","given":"","non-dropping-particle":"","parse-names":false,"suffix":""}],"container-title":"al-ahkam: Jurnal Pemikiran Hukum Islam","id":"ITEM-1","issue":"1","issued":{"date-parts":[["2014"]]},"page":"44","title":"Fiqih Sosial Kiai Sahal Sebagai Fiqih Peradaban","type":"article-journal","volume":"24"},"uris":["http://www.mendeley.com/documents/?uuid=fc6ab8cd-e4f3-47d4-beed-c8818eb9fdef"]}],"mendeley":{"formattedCitation":"Jamal Ma’mur Asmani, “Fiqih Sosial Kiai Sahal Sebagai Fiqih Peradaban,” &lt;i&gt;Al-Ahkam: Jurnal Pemikiran Hukum Islam&lt;/i&gt; 24, no. 1 (2014): 44.","plainTextFormattedCitation":"Jamal Ma’mur Asmani, “Fiqih Sosial Kiai Sahal Sebagai Fiqih Peradaban,” Al-Ahkam: Jurnal Pemikiran Hukum Islam 24, no. 1 (2014): 44.","previouslyFormattedCitation":"Jamal Ma’mur Asmani, “Fiqih Sosial Kiai Sahal Sebagai Fiqih Peradaban.”"},"properties":{"noteIndex":37},"schema":"https://github.com/citation-style-language/schema/raw/master/csl-citation.json"}</w:instrText>
      </w:r>
      <w:r w:rsidRPr="007F2884">
        <w:rPr>
          <w:rFonts w:ascii="Cambria" w:hAnsi="Cambria"/>
        </w:rPr>
        <w:fldChar w:fldCharType="separate"/>
      </w:r>
      <w:r w:rsidRPr="007F2884">
        <w:rPr>
          <w:rFonts w:ascii="Cambria" w:hAnsi="Cambria"/>
          <w:noProof/>
        </w:rPr>
        <w:t xml:space="preserve">Jamal Ma’mur Asmani, “Fiqih Sosial Kiai Sahal Sebagai Fiqih Peradaban,” </w:t>
      </w:r>
      <w:r w:rsidRPr="007F2884">
        <w:rPr>
          <w:rFonts w:ascii="Cambria" w:hAnsi="Cambria"/>
          <w:i/>
          <w:noProof/>
        </w:rPr>
        <w:t>Al-Ahkam: Jurnal Pemikiran Hukum Islam</w:t>
      </w:r>
      <w:r w:rsidRPr="007F2884">
        <w:rPr>
          <w:rFonts w:ascii="Cambria" w:hAnsi="Cambria"/>
          <w:noProof/>
        </w:rPr>
        <w:t xml:space="preserve"> 24, no. 1 (2014): 44.</w:t>
      </w:r>
      <w:r w:rsidRPr="007F2884">
        <w:rPr>
          <w:rFonts w:ascii="Cambria" w:hAnsi="Cambria"/>
        </w:rPr>
        <w:fldChar w:fldCharType="end"/>
      </w:r>
    </w:p>
  </w:footnote>
  <w:footnote w:id="38">
    <w:p w14:paraId="05E3C06B"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{"citationItems":[{"id":"ITEM-1","itemData":{"author":[{"dropping-particle":"","family":"Akhmad Arif Junaidi","given":"","non-dropping-particle":"","parse-names":false,"suffix":""}],"container-title":"SAWWA: Jurnal Studi Gender","id":"ITEM-1","issue":"1","issued":{"date-parts":[["2023"]]},"page":"1-24","title":"Kongres Ulama Perempuan Indonesia (KUPI) and Mubādalah Approach in Interpreting the Gender Biased Qur'anic Verses","type":"article-journal","volume":"18"},"uris":["http://www.mendeley.com/documents/?uuid=56574045-df3e-4eb2-883f-9b5d78e2b3da"]}],"mendeley":{"formattedCitation":"Akhmad Arif Junaidi, “Kongres Ulama Perempuan Indonesia (KUPI) and Mubādalah Approach in Interpreting the Gender Biased Qur’anic Verses.”","plainTextFormattedCitation":"Akhmad Arif Junaidi, “Kongres Ulama Perempuan Indonesia (KUPI) and Mubādalah Approach in Interpreting the Gender Biased Qur’anic Verses.”","previouslyFormattedCitation":"Akhmad Arif Junaidi, “Kongres Ulama Perempuan Indonesia (KUPI) and Mubādalah Approach in Interpreting the Gender Biased Qur’anic Verses.”"},"properties":{"noteIndex":38},"schema":"https://github.com/citation-style-language/schema/raw/master/csl-citation.json"}</w:instrText>
      </w:r>
      <w:r w:rsidRPr="007F2884">
        <w:rPr>
          <w:rFonts w:ascii="Cambria" w:hAnsi="Cambria"/>
        </w:rPr>
        <w:fldChar w:fldCharType="separate"/>
      </w:r>
      <w:r w:rsidRPr="007F2884">
        <w:rPr>
          <w:rFonts w:ascii="Cambria" w:hAnsi="Cambria"/>
          <w:noProof/>
        </w:rPr>
        <w:t>Akhmad Arif Junaidi, “Kongres Ulama Perempuan Indonesia (KUPI) and Mubādalah Approach in Interpreting the Gender Biased Qur’anic Verses.”</w:t>
      </w:r>
      <w:r w:rsidRPr="007F2884">
        <w:rPr>
          <w:rFonts w:ascii="Cambria" w:hAnsi="Cambria"/>
        </w:rPr>
        <w:fldChar w:fldCharType="end"/>
      </w:r>
    </w:p>
  </w:footnote>
  <w:footnote w:id="39">
    <w:p w14:paraId="0D5980FF"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Lihat dalam </w:t>
      </w:r>
      <w:r w:rsidRPr="007F2884">
        <w:rPr>
          <w:rFonts w:ascii="Cambria" w:hAnsi="Cambria"/>
        </w:rPr>
        <w:fldChar w:fldCharType="begin" w:fldLock="1"/>
      </w:r>
      <w:r w:rsidRPr="007F2884">
        <w:rPr>
          <w:rFonts w:ascii="Cambria" w:hAnsi="Cambria"/>
        </w:rPr>
        <w:instrText>ADDIN CSL_CITATION {"citationItems":[{"id":"ITEM-1","itemData":{"DOI":"10.18326/ijtihad.v22i1.1-18","author":[{"dropping-particle":"","family":"Siti Nurjanah &amp; Iffatin Nur","given":"","non-dropping-particle":"","parse-names":false,"suffix":""}],"container-title":"Ijtihad: Jurnal Wacana Hukum Islam dan Kemanusiaan","id":"ITEM-1","issue":"1","issued":{"date-parts":[["2022"]]},"title":"Gender Fiqh: Mobilization of Gender-Responsive Movement on Social Media","type":"article-journal","volume":"22"},"uris":["http://www.mendeley.com/documents/?uuid=5937e8ba-a5b7-400a-b5be-4f9b1fdb42f5"]}],"mendeley":{"formattedCitation":"Siti Nurjanah &amp; Iffatin Nur, “Gender Fiqh: Mobilization of Gender-Responsive Movement on Social Media,” &lt;i&gt;Ijtihad: Jurnal Wacana Hukum Islam Dan Kemanusiaan&lt;/i&gt; 22, no. 1 (2022), https://doi.org/10.18326/ijtihad.v22i1.1-18.","plainTextFormattedCitation":"Siti Nurjanah &amp; Iffatin Nur, “Gender Fiqh: Mobilization of Gender-Responsive Movement on Social Media,” Ijtihad: Jurnal Wacana Hukum Islam Dan Kemanusiaan 22, no. 1 (2022), https://doi.org/10.18326/ijtihad.v22i1.1-18.","previouslyFormattedCitation":"Siti Nurjanah &amp; Iffatin Nur, “Gender Fiqh: Mobilization of Gender-Responsive Movement on Social Media,” &lt;i&gt;Ijtihad: Jurnal Wacana Hukum Islam Dan Kemanusiaan&lt;/i&gt; 22, no. 1 (2022), https://doi.org/10.18326/ijtihad.v22i1.1-18."},"properties":{"noteIndex":39},"schema":"https://github.com/citation-style-language/schema/raw/master/csl-citation.json"}</w:instrText>
      </w:r>
      <w:r w:rsidRPr="007F2884">
        <w:rPr>
          <w:rFonts w:ascii="Cambria" w:hAnsi="Cambria"/>
        </w:rPr>
        <w:fldChar w:fldCharType="separate"/>
      </w:r>
      <w:r w:rsidRPr="007F2884">
        <w:rPr>
          <w:rFonts w:ascii="Cambria" w:hAnsi="Cambria"/>
          <w:noProof/>
        </w:rPr>
        <w:t xml:space="preserve">Siti Nurjanah &amp; Iffatin Nur, “Gender Fiqh: Mobilization of Gender-Responsive Movement on Social Media,” </w:t>
      </w:r>
      <w:r w:rsidRPr="007F2884">
        <w:rPr>
          <w:rFonts w:ascii="Cambria" w:hAnsi="Cambria"/>
          <w:i/>
          <w:noProof/>
        </w:rPr>
        <w:t>Ijtihad: Jurnal Wacana Hukum Islam Dan Kemanusiaan</w:t>
      </w:r>
      <w:r w:rsidRPr="007F2884">
        <w:rPr>
          <w:rFonts w:ascii="Cambria" w:hAnsi="Cambria"/>
          <w:noProof/>
        </w:rPr>
        <w:t xml:space="preserve"> 22, no. 1 (2022), https://doi.org/10.18326/ijtihad.v22i1.1-18.</w:t>
      </w:r>
      <w:r w:rsidRPr="007F2884">
        <w:rPr>
          <w:rFonts w:ascii="Cambria" w:hAnsi="Cambria"/>
        </w:rPr>
        <w:fldChar w:fldCharType="end"/>
      </w:r>
    </w:p>
  </w:footnote>
  <w:footnote w:id="40">
    <w:p w14:paraId="3F0FE6CB"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{"citationItems":[{"id":"ITEM-1","itemData":{"author":[{"dropping-particle":"","family":"Iffatin Nur","given":"","non-dropping-particle":"","parse-names":false,"suffix":""}],"container-title":"Saudi Journal of Humanities and Social Sciences","id":"ITEM-1","issue":"2","issued":{"date-parts":[["2020"]]},"page":"28","title":"In the Name of Public Interest We Evict? (Re-actualizing the Standing Position of Proletarian Jurisprudence to the Marginalized)","type":"article-journal","volume":"5"},"uris":["http://www.mendeley.com/documents/?uuid=cba1c9e9-2403-436d-a860-29a7a7faf13b"]}],"mendeley":{"formattedCitation":"Iffatin Nur, “In the Name of Public Interest We Evict? (Re-Actualizing the Standing Position of Proletarian Jurisprudence to the Marginalized),” &lt;i&gt;Saudi Journal of Humanities and Social Sciences&lt;/i&gt; 5, no. 2 (2020): 28.","plainTextFormattedCitation":"Iffatin Nur, “In the Name of Public Interest We Evict? (Re-Actualizing the Standing Position of Proletarian Jurisprudence to the Marginalized),” Saudi Journal of Humanities and Social Sciences 5, no. 2 (2020): 28.","previouslyFormattedCitation":"Iffatin Nur, “In the Name of Public Interest We Evict? (Re-Actualizing the Standing Position of Proletarian Jurisprudence to the Marginalized),” &lt;i&gt;Saudi Journal of Humanities and Social Sciences&lt;/i&gt; 5, no. 2 (2020): 28."},"properties":{"noteIndex":40},"schema":"https://github.com/citation-style-language/schema/raw/master/csl-citation.json"}</w:instrText>
      </w:r>
      <w:r w:rsidRPr="007F2884">
        <w:rPr>
          <w:rFonts w:ascii="Cambria" w:hAnsi="Cambria"/>
        </w:rPr>
        <w:fldChar w:fldCharType="separate"/>
      </w:r>
      <w:r w:rsidRPr="007F2884">
        <w:rPr>
          <w:rFonts w:ascii="Cambria" w:hAnsi="Cambria"/>
          <w:noProof/>
        </w:rPr>
        <w:t xml:space="preserve">Iffatin Nur, “In the Name of Public Interest We Evict? (Re-Actualizing the Standing Position of Proletarian Jurisprudence to the Marginalized),” </w:t>
      </w:r>
      <w:r w:rsidRPr="007F2884">
        <w:rPr>
          <w:rFonts w:ascii="Cambria" w:hAnsi="Cambria"/>
          <w:i/>
          <w:noProof/>
        </w:rPr>
        <w:t>Saudi Journal of Humanities and Social Sciences</w:t>
      </w:r>
      <w:r w:rsidRPr="007F2884">
        <w:rPr>
          <w:rFonts w:ascii="Cambria" w:hAnsi="Cambria"/>
          <w:noProof/>
        </w:rPr>
        <w:t xml:space="preserve"> 5, no. 2 (2020): 28.</w:t>
      </w:r>
      <w:r w:rsidRPr="007F2884">
        <w:rPr>
          <w:rFonts w:ascii="Cambria" w:hAnsi="Cambria"/>
        </w:rPr>
        <w:fldChar w:fldCharType="end"/>
      </w:r>
    </w:p>
  </w:footnote>
  <w:footnote w:id="41">
    <w:p w14:paraId="6015BE3B"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{"citationItems":[{"id":"ITEM-1","itemData":{"author":[{"dropping-particle":"","family":"Iffatin Nur &amp; Muhammad Ngizzul Muttaqin","given":"","non-dropping-particle":"","parse-names":false,"suffix":""}],"container-title":"Justicia Islamica Jurnal Kajian Hukum dan Sosial","id":"ITEM-1","issue":"1","issued":{"date-parts":[["2020"]]},"title":"Reformulating The Concept of Maṣlaḥah: From A Textual Confinement Towards A Logic Determination","type":"article-journal","volume":"17"},"uris":["http://www.mendeley.com/documents/?uuid=d6766d88-9577-4266-b379-f31a9a325768"]}],"mendeley":{"formattedCitation":"Iffatin Nur &amp; Muhammad Ngizzul Muttaqin, “Reformulating The Concept of Maṣlaḥah: From A Textual Confinement Towards A Logic Determination,” &lt;i&gt;Justicia Islamica Jurnal Kajian Hukum Dan Sosial&lt;/i&gt; 17, no. 1 (2020).","plainTextFormattedCitation":"Iffatin Nur &amp; Muhammad Ngizzul Muttaqin, “Reformulating The Concept of Maṣlaḥah: From A Textual Confinement Towards A Logic Determination,” Justicia Islamica Jurnal Kajian Hukum Dan Sosial 17, no. 1 (2020).","previouslyFormattedCitation":"Iffatin Nur &amp; Muhammad Ngizzul Muttaqin, “Reformulating The Concept of Maṣlaḥah: From A Textual Confinement Towards A Logic Determination,” &lt;i&gt;Justicia Islamica Jurnal Kajian Hukum Dan Sosial&lt;/i&gt; 17, no. 1 (2020)."},"properties":{"noteIndex":41},"schema":"https://github.com/citation-style-language/schema/raw/master/csl-citation.json"}</w:instrText>
      </w:r>
      <w:r w:rsidRPr="007F2884">
        <w:rPr>
          <w:rFonts w:ascii="Cambria" w:hAnsi="Cambria"/>
        </w:rPr>
        <w:fldChar w:fldCharType="separate"/>
      </w:r>
      <w:r w:rsidRPr="007F2884">
        <w:rPr>
          <w:rFonts w:ascii="Cambria" w:hAnsi="Cambria"/>
          <w:noProof/>
        </w:rPr>
        <w:t>Iffatin Nur &amp; Muhammad Ngizzul Muttaqin, “Reformulating The Concept of Ma</w:t>
      </w:r>
      <w:r w:rsidRPr="007F2884">
        <w:rPr>
          <w:rFonts w:ascii="Cambria" w:hAnsi="Cambria" w:cs="Cambria"/>
          <w:noProof/>
        </w:rPr>
        <w:t>ṣ</w:t>
      </w:r>
      <w:r w:rsidRPr="007F2884">
        <w:rPr>
          <w:rFonts w:ascii="Cambria" w:hAnsi="Cambria"/>
          <w:noProof/>
        </w:rPr>
        <w:t>la</w:t>
      </w:r>
      <w:r w:rsidRPr="007F2884">
        <w:rPr>
          <w:rFonts w:ascii="Cambria" w:hAnsi="Cambria" w:cs="Cambria"/>
          <w:noProof/>
        </w:rPr>
        <w:t>ḥ</w:t>
      </w:r>
      <w:r w:rsidRPr="007F2884">
        <w:rPr>
          <w:rFonts w:ascii="Cambria" w:hAnsi="Cambria"/>
          <w:noProof/>
        </w:rPr>
        <w:t>ah: From A Textual Confinement Towards A Logic Determination,</w:t>
      </w:r>
      <w:r w:rsidRPr="007F2884">
        <w:rPr>
          <w:rFonts w:ascii="Cambria" w:hAnsi="Cambria" w:cs="Book Antiqua"/>
          <w:noProof/>
        </w:rPr>
        <w:t>”</w:t>
      </w:r>
      <w:r w:rsidRPr="007F2884">
        <w:rPr>
          <w:rFonts w:ascii="Cambria" w:hAnsi="Cambria"/>
          <w:noProof/>
        </w:rPr>
        <w:t xml:space="preserve"> </w:t>
      </w:r>
      <w:r w:rsidRPr="007F2884">
        <w:rPr>
          <w:rFonts w:ascii="Cambria" w:hAnsi="Cambria"/>
          <w:i/>
          <w:noProof/>
        </w:rPr>
        <w:t>Justicia Islamica Jurnal Kajian Hukum Dan Sosial</w:t>
      </w:r>
      <w:r w:rsidRPr="007F2884">
        <w:rPr>
          <w:rFonts w:ascii="Cambria" w:hAnsi="Cambria"/>
          <w:noProof/>
        </w:rPr>
        <w:t xml:space="preserve"> 17, no. 1 (2020).</w:t>
      </w:r>
      <w:r w:rsidRPr="007F2884">
        <w:rPr>
          <w:rFonts w:ascii="Cambria" w:hAnsi="Cambria"/>
        </w:rPr>
        <w:fldChar w:fldCharType="end"/>
      </w:r>
    </w:p>
  </w:footnote>
  <w:footnote w:id="42">
    <w:p w14:paraId="3D2FB806"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{"citationItems":[{"id":"ITEM-1","itemData":{"author":[{"dropping-particle":"","family":"Abdurrahman Wahid","given":"","non-dropping-particle":"","parse-names":false,"suffix":""}],"id":"ITEM-1","issued":{"date-parts":[["1999"]]},"publisher":"Pustaka Hidayah","publisher-place":"Jakarta","title":"Pondok Pesantren Masa Depan, dalam Pesantren Masa Depan: Wacana Pemberdayaan dan Tansformasi Pesantren","type":"book"},"uris":["http://www.mendeley.com/documents/?uuid=1d3c4aee-0c23-4e12-a2ba-25fb0ddad301"]}],"mendeley":{"formattedCitation":"Abdurrahman Wahid, &lt;i&gt;Pondok Pesantren Masa Depan, Dalam Pesantren Masa Depan: Wacana Pemberdayaan Dan Tansformasi Pesantren&lt;/i&gt; (Jakarta: Pustaka Hidayah, 1999).","plainTextFormattedCitation":"Abdurrahman Wahid, Pondok Pesantren Masa Depan, Dalam Pesantren Masa Depan: Wacana Pemberdayaan Dan Tansformasi Pesantren (Jakarta: Pustaka Hidayah, 1999).","previouslyFormattedCitation":"Abdurrahman Wahid, &lt;i&gt;Pondok Pesantren Masa Depan, Dalam Pesantren Masa Depan: Wacana Pemberdayaan Dan Tansformasi Pesantren&lt;/i&gt; (Jakarta: Pustaka Hidayah, 1999)."},"properties":{"noteIndex":42},"schema":"https://github.com/citation-style-language/schema/raw/master/csl-citation.json"}</w:instrText>
      </w:r>
      <w:r w:rsidRPr="007F2884">
        <w:rPr>
          <w:rFonts w:ascii="Cambria" w:hAnsi="Cambria"/>
        </w:rPr>
        <w:fldChar w:fldCharType="separate"/>
      </w:r>
      <w:r w:rsidRPr="007F2884">
        <w:rPr>
          <w:rFonts w:ascii="Cambria" w:hAnsi="Cambria"/>
          <w:noProof/>
        </w:rPr>
        <w:t xml:space="preserve">Abdurrahman Wahid, </w:t>
      </w:r>
      <w:r w:rsidRPr="007F2884">
        <w:rPr>
          <w:rFonts w:ascii="Cambria" w:hAnsi="Cambria"/>
          <w:i/>
          <w:noProof/>
        </w:rPr>
        <w:t>Pondok Pesantren Masa Depan, Dalam Pesantren Masa Depan: Wacana Pemberdayaan Dan Tansformasi Pesantren</w:t>
      </w:r>
      <w:r w:rsidRPr="007F2884">
        <w:rPr>
          <w:rFonts w:ascii="Cambria" w:hAnsi="Cambria"/>
          <w:noProof/>
        </w:rPr>
        <w:t xml:space="preserve"> (Jakarta: Pustaka Hidayah, 1999).</w:t>
      </w:r>
      <w:r w:rsidRPr="007F2884">
        <w:rPr>
          <w:rFonts w:ascii="Cambria" w:hAnsi="Cambria"/>
        </w:rPr>
        <w:fldChar w:fldCharType="end"/>
      </w:r>
    </w:p>
  </w:footnote>
  <w:footnote w:id="43">
    <w:p w14:paraId="6AB388CE"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{"citationItems":[{"id":"ITEM-1","itemData":{"author":[{"dropping-particle":"","family":"Najib Jauharia &amp; Siti Malikhah Towaf","given":"","non-dropping-particle":"","parse-names":false,"suffix":""}],"container-title":"Sejarah dan Budaya","id":"ITEM-1","issue":"2","issued":{"date-parts":[["2019"]]},"title":"Kesetaraan Gender di Pesantren dalam Kajian Literatur","type":"article-journal","volume":"13"},"uris":["http://www.mendeley.com/documents/?uuid=5671c745-db00-473e-b462-f4c3d19b4737"]}],"mendeley":{"formattedCitation":"Najib Jauharia &amp; Siti Malikhah Towaf, “Kesetaraan Gender Di Pesantren Dalam Kajian Literatur.”","plainTextFormattedCitation":"Najib Jauharia &amp; Siti Malikhah Towaf, “Kesetaraan Gender Di Pesantren Dalam Kajian Literatur.”","previouslyFormattedCitation":"Najib Jauharia &amp; Siti Malikhah Towaf, “Kesetaraan Gender Di Pesantren Dalam Kajian Literatur.”"},"properties":{"noteIndex":43},"schema":"https://github.com/citation-style-language/schema/raw/master/csl-citation.json"}</w:instrText>
      </w:r>
      <w:r w:rsidRPr="007F2884">
        <w:rPr>
          <w:rFonts w:ascii="Cambria" w:hAnsi="Cambria"/>
        </w:rPr>
        <w:fldChar w:fldCharType="separate"/>
      </w:r>
      <w:r w:rsidRPr="007F2884">
        <w:rPr>
          <w:rFonts w:ascii="Cambria" w:hAnsi="Cambria"/>
          <w:noProof/>
        </w:rPr>
        <w:t>Najib Jauharia &amp; Siti Malikhah Towaf, “Kesetaraan Gender Di Pesantren Dalam Kajian Literatur.”</w:t>
      </w:r>
      <w:r w:rsidRPr="007F2884">
        <w:rPr>
          <w:rFonts w:ascii="Cambria" w:hAnsi="Cambria"/>
        </w:rPr>
        <w:fldChar w:fldCharType="end"/>
      </w:r>
    </w:p>
  </w:footnote>
  <w:footnote w:id="44">
    <w:p w14:paraId="049443BF"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{"citationItems":[{"id":"ITEM-1","itemData":{"author":[{"dropping-particle":"","family":"Luthfi Salim","given":"","non-dropping-particle":"","parse-names":false,"suffix":""}],"container-title":"Sosio Religia: Jurnal Sosiologi Agama","id":"ITEM-1","issue":"2","issued":{"date-parts":[["2020"]]},"title":"Kontruksi Sosial Gender Di Pesantren Studi Kesenjangan antara Laki-Laki dengan Perempuan","type":"article-journal","volume":"1"},"uris":["http://www.mendeley.com/documents/?uuid=94fc2a21-ae1f-4161-b236-d245e8b566a4"]}],"mendeley":{"formattedCitation":"Luthfi Salim, “Kontruksi Sosial Gender Di Pesantren Studi Kesenjangan Antara Laki-Laki Dengan Perempuan.”","plainTextFormattedCitation":"Luthfi Salim, “Kontruksi Sosial Gender Di Pesantren Studi Kesenjangan Antara Laki-Laki Dengan Perempuan.”","previouslyFormattedCitation":"Luthfi Salim, “Kontruksi Sosial Gender Di Pesantren Studi Kesenjangan Antara Laki-Laki Dengan Perempuan.”"},"properties":{"noteIndex":44},"schema":"https://github.com/citation-style-language/schema/raw/master/csl-citation.json"}</w:instrText>
      </w:r>
      <w:r w:rsidRPr="007F2884">
        <w:rPr>
          <w:rFonts w:ascii="Cambria" w:hAnsi="Cambria"/>
        </w:rPr>
        <w:fldChar w:fldCharType="separate"/>
      </w:r>
      <w:r w:rsidRPr="007F2884">
        <w:rPr>
          <w:rFonts w:ascii="Cambria" w:hAnsi="Cambria"/>
          <w:noProof/>
        </w:rPr>
        <w:t>Luthfi Salim, “Kontruksi Sosial Gender Di Pesantren Studi Kesenjangan Antara Laki-Laki Dengan Perempuan.”</w:t>
      </w:r>
      <w:r w:rsidRPr="007F2884">
        <w:rPr>
          <w:rFonts w:ascii="Cambria" w:hAnsi="Cambria"/>
        </w:rPr>
        <w:fldChar w:fldCharType="end"/>
      </w:r>
    </w:p>
  </w:footnote>
  <w:footnote w:id="45">
    <w:p w14:paraId="46F7A1FF"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{"citationItems":[{"id":"ITEM-1","itemData":{"author":[{"dropping-particle":"","family":"Ani Kurniawati &amp; Evi Muafiah","given":"","non-dropping-particle":"","parse-names":false,"suffix":""}],"container-title":"Excelencia: Journal of Islamic Education &amp; Management","id":"ITEM-1","issue":"1","issued":{"date-parts":[["2023"]]},"title":"Kesetaraan dan Keadilan Gender dalam Lingkungan Pesantren","type":"article-journal","volume":"3"},"uris":["http://www.mendeley.com/documents/?uuid=80b983e7-46fd-47a0-8381-06bb917917bb"]}],"mendeley":{"formattedCitation":"Ani Kurniawati &amp; Evi Muafiah, “Kesetaraan Dan Keadilan Gender Dalam Lingkungan Pesantren.”","plainTextFormattedCitation":"Ani Kurniawati &amp; Evi Muafiah, “Kesetaraan Dan Keadilan Gender Dalam Lingkungan Pesantren.”","previouslyFormattedCitation":"Ani Kurniawati &amp; Evi Muafiah, “Kesetaraan Dan Keadilan Gender Dalam Lingkungan Pesantren.”"},"properties":{"noteIndex":45},"schema":"https://github.com/citation-style-language/schema/raw/master/csl-citation.json"}</w:instrText>
      </w:r>
      <w:r w:rsidRPr="007F2884">
        <w:rPr>
          <w:rFonts w:ascii="Cambria" w:hAnsi="Cambria"/>
        </w:rPr>
        <w:fldChar w:fldCharType="separate"/>
      </w:r>
      <w:r w:rsidRPr="007F2884">
        <w:rPr>
          <w:rFonts w:ascii="Cambria" w:hAnsi="Cambria"/>
          <w:noProof/>
        </w:rPr>
        <w:t>Ani Kurniawati &amp; Evi Muafiah, “Kesetaraan Dan Keadilan Gender Dalam Lingkungan Pesantren.”</w:t>
      </w:r>
      <w:r w:rsidRPr="007F2884">
        <w:rPr>
          <w:rFonts w:ascii="Cambria" w:hAnsi="Cambria"/>
        </w:rPr>
        <w:fldChar w:fldCharType="end"/>
      </w:r>
    </w:p>
  </w:footnote>
  <w:footnote w:id="46">
    <w:p w14:paraId="250E828A" w14:textId="77777777" w:rsidR="00B76C58" w:rsidRPr="007F2884" w:rsidRDefault="00B76C58" w:rsidP="007F2884">
      <w:pPr>
        <w:pStyle w:val="FootnoteText"/>
        <w:ind w:firstLine="567"/>
        <w:rPr>
          <w:rFonts w:ascii="Cambria" w:hAnsi="Cambria"/>
        </w:rPr>
      </w:pPr>
      <w:r w:rsidRPr="007F2884">
        <w:rPr>
          <w:rStyle w:val="FootnoteReference"/>
          <w:rFonts w:ascii="Cambria" w:hAnsi="Cambria"/>
        </w:rPr>
        <w:footnoteRef/>
      </w:r>
      <w:r w:rsidRPr="007F2884">
        <w:rPr>
          <w:rFonts w:ascii="Cambria" w:hAnsi="Cambria"/>
        </w:rPr>
        <w:t xml:space="preserve"> </w:t>
      </w:r>
      <w:r w:rsidRPr="007F2884">
        <w:rPr>
          <w:rFonts w:ascii="Cambria" w:hAnsi="Cambria"/>
        </w:rPr>
        <w:fldChar w:fldCharType="begin" w:fldLock="1"/>
      </w:r>
      <w:r w:rsidRPr="007F2884">
        <w:rPr>
          <w:rFonts w:ascii="Cambria" w:hAnsi="Cambria"/>
        </w:rPr>
        <w:instrText>ADDIN CSL_CITATION {"citationItems":[{"id":"ITEM-1","itemData":{"author":[{"dropping-particle":"","family":"E. Malihah, S. Nurbayani, Wilodati, PWulandari, M.F. Husaeni, R. Hartono, S.B. Agista, S.A. Rahmah","given":"&amp; Y.A. Kesumah","non-dropping-particle":"","parse-names":false,"suffix":""}],"container-title":"Komunitas: International Journal of Indonesian Society and Culture","id":"ITEM-1","issue":"1","issued":{"date-parts":[["2023"]]},"title":"Islamic Boarding School Based on Women’s Empowerment and Equality","type":"article-journal","volume":"15"},"uris":["http://www.mendeley.com/documents/?uuid=86aa86d3-f61d-47d2-8e62-eb9d5496fae3"]}],"mendeley":{"formattedCitation":"E. Malihah, S. Nurbayani, Wilodati, PWulandari, M.F. Husaeni, R. Hartono, S.B. Agista, S.A. Rahmah, “Islamic Boarding School Based on Women’s Empowerment and Equality.”","plainTextFormattedCitation":"E. Malihah, S. Nurbayani, Wilodati, PWulandari, M.F. Husaeni, R. Hartono, S.B. Agista, S.A. Rahmah, “Islamic Boarding School Based on Women’s Empowerment and Equality.”","previouslyFormattedCitation":"E. Malihah, S. Nurbayani, Wilodati, PWulandari, M.F. Husaeni, R. Hartono, S.B. Agista, S.A. Rahmah, “Islamic Boarding School Based on Women’s Empowerment and Equality.”"},"properties":{"noteIndex":46},"schema":"https://github.com/citation-style-language/schema/raw/master/csl-citation.json"}</w:instrText>
      </w:r>
      <w:r w:rsidRPr="007F2884">
        <w:rPr>
          <w:rFonts w:ascii="Cambria" w:hAnsi="Cambria"/>
        </w:rPr>
        <w:fldChar w:fldCharType="separate"/>
      </w:r>
      <w:r w:rsidRPr="007F2884">
        <w:rPr>
          <w:rFonts w:ascii="Cambria" w:hAnsi="Cambria"/>
          <w:noProof/>
        </w:rPr>
        <w:t>E. Malihah, S. Nurbayani, Wilodati, PWulandari, M.F. Husaeni, R. Hartono, S.B. Agista, S.A. Rahmah, “Islamic Boarding School Based on Women’s Empowerment and Equality.”</w:t>
      </w:r>
      <w:r w:rsidRPr="007F2884">
        <w:rPr>
          <w:rFonts w:ascii="Cambria" w:hAnsi="Cambria"/>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0F1CF" w14:textId="77777777" w:rsidR="0002010B" w:rsidRDefault="000201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B312C" w14:textId="77777777" w:rsidR="0002010B" w:rsidRDefault="000201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FD616" w14:textId="77777777" w:rsidR="0002010B" w:rsidRDefault="00020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5CD5"/>
    <w:multiLevelType w:val="hybridMultilevel"/>
    <w:tmpl w:val="27C8B156"/>
    <w:lvl w:ilvl="0" w:tplc="D5442E3A">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2F62E2"/>
    <w:multiLevelType w:val="hybridMultilevel"/>
    <w:tmpl w:val="541898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F4B77"/>
    <w:multiLevelType w:val="hybridMultilevel"/>
    <w:tmpl w:val="8D044E42"/>
    <w:lvl w:ilvl="0" w:tplc="38090019">
      <w:start w:val="1"/>
      <w:numFmt w:val="lowerLetter"/>
      <w:lvlText w:val="%1."/>
      <w:lvlJc w:val="left"/>
      <w:pPr>
        <w:ind w:left="502" w:hanging="360"/>
      </w:p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3" w15:restartNumberingAfterBreak="0">
    <w:nsid w:val="0ADD0146"/>
    <w:multiLevelType w:val="multilevel"/>
    <w:tmpl w:val="ABAA0B76"/>
    <w:lvl w:ilvl="0">
      <w:start w:val="1"/>
      <w:numFmt w:val="decimal"/>
      <w:lvlText w:val="%1."/>
      <w:lvlJc w:val="left"/>
      <w:pPr>
        <w:ind w:left="720" w:hanging="360"/>
      </w:pPr>
      <w:rPr>
        <w:rFonts w:hint="default"/>
        <w:b w:val="0"/>
        <w:bCs/>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4" w15:restartNumberingAfterBreak="0">
    <w:nsid w:val="0F4615E1"/>
    <w:multiLevelType w:val="hybridMultilevel"/>
    <w:tmpl w:val="F9D62E32"/>
    <w:lvl w:ilvl="0" w:tplc="38090019">
      <w:start w:val="1"/>
      <w:numFmt w:val="lowerLetter"/>
      <w:lvlText w:val="%1."/>
      <w:lvlJc w:val="left"/>
      <w:pPr>
        <w:ind w:left="1440" w:hanging="360"/>
      </w:pPr>
    </w:lvl>
    <w:lvl w:ilvl="1" w:tplc="38090019">
      <w:start w:val="1"/>
      <w:numFmt w:val="lowerLetter"/>
      <w:lvlText w:val="%2."/>
      <w:lvlJc w:val="left"/>
      <w:pPr>
        <w:ind w:left="644"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0FCB03B5"/>
    <w:multiLevelType w:val="hybridMultilevel"/>
    <w:tmpl w:val="8F74003C"/>
    <w:lvl w:ilvl="0" w:tplc="CD7485BA">
      <w:start w:val="1"/>
      <w:numFmt w:val="decimal"/>
      <w:lvlText w:val="%1."/>
      <w:lvlJc w:val="left"/>
      <w:pPr>
        <w:ind w:left="420" w:hanging="360"/>
      </w:pPr>
      <w:rPr>
        <w:rFonts w:hint="default"/>
      </w:rPr>
    </w:lvl>
    <w:lvl w:ilvl="1" w:tplc="38090019" w:tentative="1">
      <w:start w:val="1"/>
      <w:numFmt w:val="lowerLetter"/>
      <w:lvlText w:val="%2."/>
      <w:lvlJc w:val="left"/>
      <w:pPr>
        <w:ind w:left="1140" w:hanging="360"/>
      </w:pPr>
    </w:lvl>
    <w:lvl w:ilvl="2" w:tplc="3809001B" w:tentative="1">
      <w:start w:val="1"/>
      <w:numFmt w:val="lowerRoman"/>
      <w:lvlText w:val="%3."/>
      <w:lvlJc w:val="right"/>
      <w:pPr>
        <w:ind w:left="1860" w:hanging="180"/>
      </w:pPr>
    </w:lvl>
    <w:lvl w:ilvl="3" w:tplc="3809000F" w:tentative="1">
      <w:start w:val="1"/>
      <w:numFmt w:val="decimal"/>
      <w:lvlText w:val="%4."/>
      <w:lvlJc w:val="left"/>
      <w:pPr>
        <w:ind w:left="2580" w:hanging="360"/>
      </w:pPr>
    </w:lvl>
    <w:lvl w:ilvl="4" w:tplc="38090019" w:tentative="1">
      <w:start w:val="1"/>
      <w:numFmt w:val="lowerLetter"/>
      <w:lvlText w:val="%5."/>
      <w:lvlJc w:val="left"/>
      <w:pPr>
        <w:ind w:left="3300" w:hanging="360"/>
      </w:pPr>
    </w:lvl>
    <w:lvl w:ilvl="5" w:tplc="3809001B" w:tentative="1">
      <w:start w:val="1"/>
      <w:numFmt w:val="lowerRoman"/>
      <w:lvlText w:val="%6."/>
      <w:lvlJc w:val="right"/>
      <w:pPr>
        <w:ind w:left="4020" w:hanging="180"/>
      </w:pPr>
    </w:lvl>
    <w:lvl w:ilvl="6" w:tplc="3809000F" w:tentative="1">
      <w:start w:val="1"/>
      <w:numFmt w:val="decimal"/>
      <w:lvlText w:val="%7."/>
      <w:lvlJc w:val="left"/>
      <w:pPr>
        <w:ind w:left="4740" w:hanging="360"/>
      </w:pPr>
    </w:lvl>
    <w:lvl w:ilvl="7" w:tplc="38090019" w:tentative="1">
      <w:start w:val="1"/>
      <w:numFmt w:val="lowerLetter"/>
      <w:lvlText w:val="%8."/>
      <w:lvlJc w:val="left"/>
      <w:pPr>
        <w:ind w:left="5460" w:hanging="360"/>
      </w:pPr>
    </w:lvl>
    <w:lvl w:ilvl="8" w:tplc="3809001B" w:tentative="1">
      <w:start w:val="1"/>
      <w:numFmt w:val="lowerRoman"/>
      <w:lvlText w:val="%9."/>
      <w:lvlJc w:val="right"/>
      <w:pPr>
        <w:ind w:left="6180" w:hanging="180"/>
      </w:pPr>
    </w:lvl>
  </w:abstractNum>
  <w:abstractNum w:abstractNumId="6" w15:restartNumberingAfterBreak="0">
    <w:nsid w:val="157B4A31"/>
    <w:multiLevelType w:val="hybridMultilevel"/>
    <w:tmpl w:val="83BA06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771ABF"/>
    <w:multiLevelType w:val="hybridMultilevel"/>
    <w:tmpl w:val="87AE9438"/>
    <w:lvl w:ilvl="0" w:tplc="5066C654">
      <w:start w:val="1"/>
      <w:numFmt w:val="upperLetter"/>
      <w:pStyle w:val="Heading1"/>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EA83AE7"/>
    <w:multiLevelType w:val="hybridMultilevel"/>
    <w:tmpl w:val="6E74C916"/>
    <w:lvl w:ilvl="0" w:tplc="04090019">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0E2977"/>
    <w:multiLevelType w:val="hybridMultilevel"/>
    <w:tmpl w:val="A0905B3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D8E640E"/>
    <w:multiLevelType w:val="hybridMultilevel"/>
    <w:tmpl w:val="5D66A240"/>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15:restartNumberingAfterBreak="0">
    <w:nsid w:val="349C0E5F"/>
    <w:multiLevelType w:val="hybridMultilevel"/>
    <w:tmpl w:val="06A2DA5C"/>
    <w:lvl w:ilvl="0" w:tplc="04090015">
      <w:start w:val="1"/>
      <w:numFmt w:val="upperLetter"/>
      <w:lvlText w:val="%1."/>
      <w:lvlJc w:val="left"/>
      <w:pPr>
        <w:ind w:left="720" w:hanging="360"/>
      </w:pPr>
    </w:lvl>
    <w:lvl w:ilvl="1" w:tplc="B486015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837ADA"/>
    <w:multiLevelType w:val="hybridMultilevel"/>
    <w:tmpl w:val="3E36327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CA1D41"/>
    <w:multiLevelType w:val="hybridMultilevel"/>
    <w:tmpl w:val="C114BFE8"/>
    <w:lvl w:ilvl="0" w:tplc="9FC28396">
      <w:start w:val="1"/>
      <w:numFmt w:val="decimal"/>
      <w:lvlText w:val="%1."/>
      <w:lvlJc w:val="left"/>
      <w:pPr>
        <w:ind w:left="1080" w:hanging="360"/>
      </w:pPr>
      <w:rPr>
        <w:rFonts w:ascii="Cambria" w:eastAsia="Times New Roman" w:hAnsi="Cambri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2E64B10"/>
    <w:multiLevelType w:val="hybridMultilevel"/>
    <w:tmpl w:val="C88067C4"/>
    <w:lvl w:ilvl="0" w:tplc="E7786512">
      <w:start w:val="1"/>
      <w:numFmt w:val="lowerLetter"/>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5" w15:restartNumberingAfterBreak="0">
    <w:nsid w:val="6EEC244B"/>
    <w:multiLevelType w:val="hybridMultilevel"/>
    <w:tmpl w:val="4C2EE420"/>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6" w15:restartNumberingAfterBreak="0">
    <w:nsid w:val="79087051"/>
    <w:multiLevelType w:val="hybridMultilevel"/>
    <w:tmpl w:val="8064EA24"/>
    <w:lvl w:ilvl="0" w:tplc="3809000F">
      <w:start w:val="1"/>
      <w:numFmt w:val="decimal"/>
      <w:lvlText w:val="%1."/>
      <w:lvlJc w:val="left"/>
      <w:pPr>
        <w:ind w:left="450" w:hanging="360"/>
      </w:pPr>
      <w:rPr>
        <w:rFonts w:hint="default"/>
      </w:rPr>
    </w:lvl>
    <w:lvl w:ilvl="1" w:tplc="38090019" w:tentative="1">
      <w:start w:val="1"/>
      <w:numFmt w:val="lowerLetter"/>
      <w:lvlText w:val="%2."/>
      <w:lvlJc w:val="left"/>
      <w:pPr>
        <w:ind w:left="1170" w:hanging="360"/>
      </w:pPr>
    </w:lvl>
    <w:lvl w:ilvl="2" w:tplc="3809001B" w:tentative="1">
      <w:start w:val="1"/>
      <w:numFmt w:val="lowerRoman"/>
      <w:lvlText w:val="%3."/>
      <w:lvlJc w:val="right"/>
      <w:pPr>
        <w:ind w:left="1890" w:hanging="180"/>
      </w:pPr>
    </w:lvl>
    <w:lvl w:ilvl="3" w:tplc="3809000F" w:tentative="1">
      <w:start w:val="1"/>
      <w:numFmt w:val="decimal"/>
      <w:lvlText w:val="%4."/>
      <w:lvlJc w:val="left"/>
      <w:pPr>
        <w:ind w:left="2610" w:hanging="360"/>
      </w:pPr>
    </w:lvl>
    <w:lvl w:ilvl="4" w:tplc="38090019" w:tentative="1">
      <w:start w:val="1"/>
      <w:numFmt w:val="lowerLetter"/>
      <w:lvlText w:val="%5."/>
      <w:lvlJc w:val="left"/>
      <w:pPr>
        <w:ind w:left="3330" w:hanging="360"/>
      </w:pPr>
    </w:lvl>
    <w:lvl w:ilvl="5" w:tplc="3809001B" w:tentative="1">
      <w:start w:val="1"/>
      <w:numFmt w:val="lowerRoman"/>
      <w:lvlText w:val="%6."/>
      <w:lvlJc w:val="right"/>
      <w:pPr>
        <w:ind w:left="4050" w:hanging="180"/>
      </w:pPr>
    </w:lvl>
    <w:lvl w:ilvl="6" w:tplc="3809000F" w:tentative="1">
      <w:start w:val="1"/>
      <w:numFmt w:val="decimal"/>
      <w:lvlText w:val="%7."/>
      <w:lvlJc w:val="left"/>
      <w:pPr>
        <w:ind w:left="4770" w:hanging="360"/>
      </w:pPr>
    </w:lvl>
    <w:lvl w:ilvl="7" w:tplc="38090019" w:tentative="1">
      <w:start w:val="1"/>
      <w:numFmt w:val="lowerLetter"/>
      <w:lvlText w:val="%8."/>
      <w:lvlJc w:val="left"/>
      <w:pPr>
        <w:ind w:left="5490" w:hanging="360"/>
      </w:pPr>
    </w:lvl>
    <w:lvl w:ilvl="8" w:tplc="3809001B" w:tentative="1">
      <w:start w:val="1"/>
      <w:numFmt w:val="lowerRoman"/>
      <w:lvlText w:val="%9."/>
      <w:lvlJc w:val="right"/>
      <w:pPr>
        <w:ind w:left="6210" w:hanging="180"/>
      </w:pPr>
    </w:lvl>
  </w:abstractNum>
  <w:abstractNum w:abstractNumId="17" w15:restartNumberingAfterBreak="0">
    <w:nsid w:val="79255D9C"/>
    <w:multiLevelType w:val="hybridMultilevel"/>
    <w:tmpl w:val="65D625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B85602"/>
    <w:multiLevelType w:val="hybridMultilevel"/>
    <w:tmpl w:val="DE946CD6"/>
    <w:lvl w:ilvl="0" w:tplc="3809000F">
      <w:start w:val="1"/>
      <w:numFmt w:val="decimal"/>
      <w:lvlText w:val="%1."/>
      <w:lvlJc w:val="left"/>
      <w:pPr>
        <w:ind w:left="360" w:hanging="360"/>
      </w:pPr>
    </w:lvl>
    <w:lvl w:ilvl="1" w:tplc="B94AFED4">
      <w:start w:val="1"/>
      <w:numFmt w:val="lowerLetter"/>
      <w:lvlText w:val="%2."/>
      <w:lvlJc w:val="left"/>
      <w:pPr>
        <w:ind w:left="1440" w:hanging="720"/>
      </w:pPr>
      <w:rPr>
        <w:rFonts w:hint="default"/>
      </w:r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7D086988"/>
    <w:multiLevelType w:val="hybridMultilevel"/>
    <w:tmpl w:val="FD067746"/>
    <w:lvl w:ilvl="0" w:tplc="2CD2EABE">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3214411">
    <w:abstractNumId w:val="1"/>
  </w:num>
  <w:num w:numId="2" w16cid:durableId="155458208">
    <w:abstractNumId w:val="17"/>
  </w:num>
  <w:num w:numId="3" w16cid:durableId="618149449">
    <w:abstractNumId w:val="11"/>
  </w:num>
  <w:num w:numId="4" w16cid:durableId="1562517531">
    <w:abstractNumId w:val="6"/>
  </w:num>
  <w:num w:numId="5" w16cid:durableId="1908488452">
    <w:abstractNumId w:val="12"/>
  </w:num>
  <w:num w:numId="6" w16cid:durableId="137578218">
    <w:abstractNumId w:val="7"/>
  </w:num>
  <w:num w:numId="7" w16cid:durableId="1133330634">
    <w:abstractNumId w:val="3"/>
  </w:num>
  <w:num w:numId="8" w16cid:durableId="893463804">
    <w:abstractNumId w:val="15"/>
  </w:num>
  <w:num w:numId="9" w16cid:durableId="1802184621">
    <w:abstractNumId w:val="10"/>
  </w:num>
  <w:num w:numId="10" w16cid:durableId="1383823178">
    <w:abstractNumId w:val="5"/>
  </w:num>
  <w:num w:numId="11" w16cid:durableId="382221244">
    <w:abstractNumId w:val="7"/>
    <w:lvlOverride w:ilvl="0">
      <w:startOverride w:val="1"/>
    </w:lvlOverride>
  </w:num>
  <w:num w:numId="12" w16cid:durableId="1320042270">
    <w:abstractNumId w:val="7"/>
    <w:lvlOverride w:ilvl="0">
      <w:startOverride w:val="1"/>
    </w:lvlOverride>
  </w:num>
  <w:num w:numId="13" w16cid:durableId="827281270">
    <w:abstractNumId w:val="7"/>
    <w:lvlOverride w:ilvl="0">
      <w:startOverride w:val="1"/>
    </w:lvlOverride>
  </w:num>
  <w:num w:numId="14" w16cid:durableId="1041591598">
    <w:abstractNumId w:val="8"/>
  </w:num>
  <w:num w:numId="15" w16cid:durableId="744181256">
    <w:abstractNumId w:val="13"/>
  </w:num>
  <w:num w:numId="16" w16cid:durableId="327438956">
    <w:abstractNumId w:val="19"/>
  </w:num>
  <w:num w:numId="17" w16cid:durableId="909736400">
    <w:abstractNumId w:val="0"/>
  </w:num>
  <w:num w:numId="18" w16cid:durableId="1147087570">
    <w:abstractNumId w:val="7"/>
  </w:num>
  <w:num w:numId="19" w16cid:durableId="105783107">
    <w:abstractNumId w:val="18"/>
  </w:num>
  <w:num w:numId="20" w16cid:durableId="146360768">
    <w:abstractNumId w:val="2"/>
  </w:num>
  <w:num w:numId="21" w16cid:durableId="801851947">
    <w:abstractNumId w:val="4"/>
  </w:num>
  <w:num w:numId="22" w16cid:durableId="768280060">
    <w:abstractNumId w:val="7"/>
  </w:num>
  <w:num w:numId="23" w16cid:durableId="719325769">
    <w:abstractNumId w:val="16"/>
  </w:num>
  <w:num w:numId="24" w16cid:durableId="1459564959">
    <w:abstractNumId w:val="9"/>
  </w:num>
  <w:num w:numId="25" w16cid:durableId="81679916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536"/>
    <w:rsid w:val="00016A72"/>
    <w:rsid w:val="000174E9"/>
    <w:rsid w:val="0002010B"/>
    <w:rsid w:val="00022766"/>
    <w:rsid w:val="00036D6D"/>
    <w:rsid w:val="0004561F"/>
    <w:rsid w:val="00055E0C"/>
    <w:rsid w:val="00063F3D"/>
    <w:rsid w:val="00077A70"/>
    <w:rsid w:val="00083DA3"/>
    <w:rsid w:val="00091078"/>
    <w:rsid w:val="0009297C"/>
    <w:rsid w:val="000A005D"/>
    <w:rsid w:val="000A278D"/>
    <w:rsid w:val="000A429B"/>
    <w:rsid w:val="000A54CF"/>
    <w:rsid w:val="000B4312"/>
    <w:rsid w:val="000E4265"/>
    <w:rsid w:val="000F2476"/>
    <w:rsid w:val="0010315F"/>
    <w:rsid w:val="0010552D"/>
    <w:rsid w:val="001070AF"/>
    <w:rsid w:val="00110EEC"/>
    <w:rsid w:val="0011378D"/>
    <w:rsid w:val="001233DA"/>
    <w:rsid w:val="00125F09"/>
    <w:rsid w:val="00146A14"/>
    <w:rsid w:val="001516A3"/>
    <w:rsid w:val="00151D51"/>
    <w:rsid w:val="001A3193"/>
    <w:rsid w:val="001A5DEA"/>
    <w:rsid w:val="001A7BA7"/>
    <w:rsid w:val="001C4D08"/>
    <w:rsid w:val="001D2638"/>
    <w:rsid w:val="001D6D6D"/>
    <w:rsid w:val="001E6D21"/>
    <w:rsid w:val="001F432A"/>
    <w:rsid w:val="00205AE3"/>
    <w:rsid w:val="00210592"/>
    <w:rsid w:val="00212785"/>
    <w:rsid w:val="0021662A"/>
    <w:rsid w:val="00222A6E"/>
    <w:rsid w:val="002305E9"/>
    <w:rsid w:val="00257A9D"/>
    <w:rsid w:val="00264F33"/>
    <w:rsid w:val="002753C5"/>
    <w:rsid w:val="002A7DB5"/>
    <w:rsid w:val="002B77C9"/>
    <w:rsid w:val="002C7442"/>
    <w:rsid w:val="002E19FD"/>
    <w:rsid w:val="002E643D"/>
    <w:rsid w:val="00303024"/>
    <w:rsid w:val="00303B38"/>
    <w:rsid w:val="0030580A"/>
    <w:rsid w:val="00306E82"/>
    <w:rsid w:val="003114EF"/>
    <w:rsid w:val="0031562E"/>
    <w:rsid w:val="00336540"/>
    <w:rsid w:val="00336F76"/>
    <w:rsid w:val="00362BC9"/>
    <w:rsid w:val="00363F1F"/>
    <w:rsid w:val="003713A8"/>
    <w:rsid w:val="00374856"/>
    <w:rsid w:val="0038108A"/>
    <w:rsid w:val="00390EB7"/>
    <w:rsid w:val="003A7F09"/>
    <w:rsid w:val="003B70AA"/>
    <w:rsid w:val="003B7E89"/>
    <w:rsid w:val="003C0283"/>
    <w:rsid w:val="003C1ADE"/>
    <w:rsid w:val="003D783A"/>
    <w:rsid w:val="003F7114"/>
    <w:rsid w:val="004217BA"/>
    <w:rsid w:val="00421AD6"/>
    <w:rsid w:val="00427710"/>
    <w:rsid w:val="00433FBA"/>
    <w:rsid w:val="00457D70"/>
    <w:rsid w:val="00496B98"/>
    <w:rsid w:val="004A4BBF"/>
    <w:rsid w:val="004B28DF"/>
    <w:rsid w:val="004B5761"/>
    <w:rsid w:val="004B7017"/>
    <w:rsid w:val="004C3E36"/>
    <w:rsid w:val="004E3E3B"/>
    <w:rsid w:val="004F4187"/>
    <w:rsid w:val="00501F85"/>
    <w:rsid w:val="0050563E"/>
    <w:rsid w:val="00516E18"/>
    <w:rsid w:val="005236A2"/>
    <w:rsid w:val="00545896"/>
    <w:rsid w:val="005737DC"/>
    <w:rsid w:val="00591A45"/>
    <w:rsid w:val="005B144B"/>
    <w:rsid w:val="005B622F"/>
    <w:rsid w:val="005B68CB"/>
    <w:rsid w:val="005E4E0E"/>
    <w:rsid w:val="005F0F56"/>
    <w:rsid w:val="005F70DE"/>
    <w:rsid w:val="006056C4"/>
    <w:rsid w:val="006246B2"/>
    <w:rsid w:val="00646960"/>
    <w:rsid w:val="006518B8"/>
    <w:rsid w:val="00664827"/>
    <w:rsid w:val="00666799"/>
    <w:rsid w:val="00690209"/>
    <w:rsid w:val="006917C8"/>
    <w:rsid w:val="006B4E5C"/>
    <w:rsid w:val="006B7996"/>
    <w:rsid w:val="006C408E"/>
    <w:rsid w:val="006C5593"/>
    <w:rsid w:val="006C5620"/>
    <w:rsid w:val="006D6187"/>
    <w:rsid w:val="006D7E46"/>
    <w:rsid w:val="006E6809"/>
    <w:rsid w:val="006E7FD3"/>
    <w:rsid w:val="006F4B85"/>
    <w:rsid w:val="007121F9"/>
    <w:rsid w:val="00724DA0"/>
    <w:rsid w:val="007253DE"/>
    <w:rsid w:val="0073714D"/>
    <w:rsid w:val="0074699F"/>
    <w:rsid w:val="00781A4F"/>
    <w:rsid w:val="0079297A"/>
    <w:rsid w:val="007A4B28"/>
    <w:rsid w:val="007B2CAA"/>
    <w:rsid w:val="007D4BB4"/>
    <w:rsid w:val="007D7133"/>
    <w:rsid w:val="007E7DC0"/>
    <w:rsid w:val="007F0AB7"/>
    <w:rsid w:val="007F2884"/>
    <w:rsid w:val="00816259"/>
    <w:rsid w:val="00861E16"/>
    <w:rsid w:val="00864C5F"/>
    <w:rsid w:val="00870774"/>
    <w:rsid w:val="00874FD7"/>
    <w:rsid w:val="0088431B"/>
    <w:rsid w:val="008D1213"/>
    <w:rsid w:val="008D6113"/>
    <w:rsid w:val="008F7237"/>
    <w:rsid w:val="009014E2"/>
    <w:rsid w:val="00903CE3"/>
    <w:rsid w:val="0090444F"/>
    <w:rsid w:val="009067FF"/>
    <w:rsid w:val="00911476"/>
    <w:rsid w:val="009225A6"/>
    <w:rsid w:val="00924C27"/>
    <w:rsid w:val="009348FF"/>
    <w:rsid w:val="00936CDC"/>
    <w:rsid w:val="0094793B"/>
    <w:rsid w:val="009801FD"/>
    <w:rsid w:val="00984B1B"/>
    <w:rsid w:val="009A56FB"/>
    <w:rsid w:val="009B1A41"/>
    <w:rsid w:val="009B5CED"/>
    <w:rsid w:val="009B60A5"/>
    <w:rsid w:val="009C0035"/>
    <w:rsid w:val="009C4006"/>
    <w:rsid w:val="009C678B"/>
    <w:rsid w:val="009E75C9"/>
    <w:rsid w:val="00A1004D"/>
    <w:rsid w:val="00A16741"/>
    <w:rsid w:val="00A36856"/>
    <w:rsid w:val="00A7524D"/>
    <w:rsid w:val="00A77601"/>
    <w:rsid w:val="00AA609C"/>
    <w:rsid w:val="00AA7B53"/>
    <w:rsid w:val="00AB1005"/>
    <w:rsid w:val="00AD7812"/>
    <w:rsid w:val="00AF5D25"/>
    <w:rsid w:val="00B256C4"/>
    <w:rsid w:val="00B313E2"/>
    <w:rsid w:val="00B35653"/>
    <w:rsid w:val="00B62944"/>
    <w:rsid w:val="00B66C60"/>
    <w:rsid w:val="00B67D04"/>
    <w:rsid w:val="00B7670F"/>
    <w:rsid w:val="00B76C58"/>
    <w:rsid w:val="00B84BC3"/>
    <w:rsid w:val="00B8762A"/>
    <w:rsid w:val="00BA067B"/>
    <w:rsid w:val="00BA151D"/>
    <w:rsid w:val="00BA797B"/>
    <w:rsid w:val="00BB761B"/>
    <w:rsid w:val="00BC173E"/>
    <w:rsid w:val="00BD02A7"/>
    <w:rsid w:val="00BD3CC1"/>
    <w:rsid w:val="00BF6B8E"/>
    <w:rsid w:val="00BF7689"/>
    <w:rsid w:val="00BF7B02"/>
    <w:rsid w:val="00C00D01"/>
    <w:rsid w:val="00C02ADB"/>
    <w:rsid w:val="00C32CA1"/>
    <w:rsid w:val="00C341F3"/>
    <w:rsid w:val="00C42894"/>
    <w:rsid w:val="00C670A0"/>
    <w:rsid w:val="00C72C2F"/>
    <w:rsid w:val="00C771F0"/>
    <w:rsid w:val="00C8253E"/>
    <w:rsid w:val="00C8760A"/>
    <w:rsid w:val="00CC615C"/>
    <w:rsid w:val="00CD28EA"/>
    <w:rsid w:val="00CE055C"/>
    <w:rsid w:val="00CF044E"/>
    <w:rsid w:val="00D07B47"/>
    <w:rsid w:val="00D2458E"/>
    <w:rsid w:val="00D24A8C"/>
    <w:rsid w:val="00D3239F"/>
    <w:rsid w:val="00D3358D"/>
    <w:rsid w:val="00D34078"/>
    <w:rsid w:val="00D35B42"/>
    <w:rsid w:val="00D36D67"/>
    <w:rsid w:val="00D373A7"/>
    <w:rsid w:val="00D410C8"/>
    <w:rsid w:val="00D5323B"/>
    <w:rsid w:val="00D5325A"/>
    <w:rsid w:val="00D53682"/>
    <w:rsid w:val="00D56AC4"/>
    <w:rsid w:val="00D74921"/>
    <w:rsid w:val="00D91EE3"/>
    <w:rsid w:val="00D92E02"/>
    <w:rsid w:val="00D95505"/>
    <w:rsid w:val="00DA2F64"/>
    <w:rsid w:val="00DA4A53"/>
    <w:rsid w:val="00DA57A4"/>
    <w:rsid w:val="00DD1566"/>
    <w:rsid w:val="00E15F51"/>
    <w:rsid w:val="00E31F64"/>
    <w:rsid w:val="00E32BCD"/>
    <w:rsid w:val="00E410F4"/>
    <w:rsid w:val="00E446E9"/>
    <w:rsid w:val="00E46C05"/>
    <w:rsid w:val="00E510F1"/>
    <w:rsid w:val="00E55591"/>
    <w:rsid w:val="00E6348F"/>
    <w:rsid w:val="00EB3770"/>
    <w:rsid w:val="00EC28B7"/>
    <w:rsid w:val="00EC5F5C"/>
    <w:rsid w:val="00EE4B16"/>
    <w:rsid w:val="00EF4168"/>
    <w:rsid w:val="00F04536"/>
    <w:rsid w:val="00F07156"/>
    <w:rsid w:val="00F12210"/>
    <w:rsid w:val="00F16189"/>
    <w:rsid w:val="00F212F5"/>
    <w:rsid w:val="00F36955"/>
    <w:rsid w:val="00F81775"/>
    <w:rsid w:val="00F919FB"/>
    <w:rsid w:val="00F9464D"/>
    <w:rsid w:val="00F95864"/>
    <w:rsid w:val="00FB5CE1"/>
    <w:rsid w:val="00FD45EA"/>
    <w:rsid w:val="00FD77D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3BC51"/>
  <w15:chartTrackingRefBased/>
  <w15:docId w15:val="{3CE6E3BB-9155-45F6-B08A-2730DD6D0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Jamia2014" w:eastAsia="Calibri" w:hAnsi="Jamia2014" w:cs="Naskh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43D"/>
    <w:pPr>
      <w:spacing w:line="360" w:lineRule="auto"/>
      <w:jc w:val="both"/>
    </w:pPr>
    <w:rPr>
      <w:sz w:val="24"/>
      <w:szCs w:val="24"/>
      <w:lang w:val="en-US" w:eastAsia="en-US"/>
    </w:rPr>
  </w:style>
  <w:style w:type="paragraph" w:styleId="Heading1">
    <w:name w:val="heading 1"/>
    <w:basedOn w:val="Normal"/>
    <w:next w:val="Normal"/>
    <w:link w:val="Heading1Char"/>
    <w:uiPriority w:val="9"/>
    <w:qFormat/>
    <w:rsid w:val="002E643D"/>
    <w:pPr>
      <w:keepNext/>
      <w:numPr>
        <w:numId w:val="6"/>
      </w:numPr>
      <w:outlineLvl w:val="0"/>
    </w:pPr>
    <w:rPr>
      <w:rFonts w:ascii="Cambria" w:eastAsia="Times New Roman" w:hAnsi="Cambria" w:cs="Times New Roman"/>
      <w:b/>
      <w:bCs/>
      <w:kern w:val="32"/>
      <w:szCs w:val="32"/>
    </w:rPr>
  </w:style>
  <w:style w:type="paragraph" w:styleId="Heading2">
    <w:name w:val="heading 2"/>
    <w:basedOn w:val="Normal"/>
    <w:next w:val="Normal"/>
    <w:link w:val="Heading2Char"/>
    <w:uiPriority w:val="9"/>
    <w:semiHidden/>
    <w:unhideWhenUsed/>
    <w:qFormat/>
    <w:rsid w:val="00924C27"/>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E6D21"/>
    <w:pPr>
      <w:ind w:left="720"/>
      <w:contextualSpacing/>
    </w:pPr>
  </w:style>
  <w:style w:type="paragraph" w:styleId="FootnoteText">
    <w:name w:val="footnote text"/>
    <w:aliases w:val="Footnote Text Char Char,Char,char,Footnote Text Char Char Char Char, Char,Catatan Kaki Char Char Char Char Char,Footnote Char Char Char Char Char,Footnote Char Char Char Char,Footnote Char Char"/>
    <w:basedOn w:val="Normal"/>
    <w:link w:val="FootnoteTextChar"/>
    <w:uiPriority w:val="99"/>
    <w:unhideWhenUsed/>
    <w:rsid w:val="00146A14"/>
    <w:pPr>
      <w:spacing w:line="240" w:lineRule="auto"/>
    </w:pPr>
    <w:rPr>
      <w:sz w:val="20"/>
      <w:szCs w:val="20"/>
    </w:rPr>
  </w:style>
  <w:style w:type="character" w:customStyle="1" w:styleId="FootnoteTextChar">
    <w:name w:val="Footnote Text Char"/>
    <w:aliases w:val="Footnote Text Char Char Char,Char Char,char Char,Footnote Text Char Char Char Char Char, Char Char,Catatan Kaki Char Char Char Char Char Char,Footnote Char Char Char Char Char Char,Footnote Char Char Char Char Char1"/>
    <w:link w:val="FootnoteText"/>
    <w:uiPriority w:val="99"/>
    <w:rsid w:val="00146A14"/>
    <w:rPr>
      <w:sz w:val="20"/>
      <w:szCs w:val="20"/>
    </w:rPr>
  </w:style>
  <w:style w:type="character" w:styleId="FootnoteReference">
    <w:name w:val="footnote reference"/>
    <w:uiPriority w:val="99"/>
    <w:unhideWhenUsed/>
    <w:qFormat/>
    <w:rsid w:val="00146A14"/>
    <w:rPr>
      <w:vertAlign w:val="superscript"/>
    </w:rPr>
  </w:style>
  <w:style w:type="paragraph" w:styleId="Bibliography">
    <w:name w:val="Bibliography"/>
    <w:basedOn w:val="Normal"/>
    <w:next w:val="Normal"/>
    <w:uiPriority w:val="37"/>
    <w:unhideWhenUsed/>
    <w:rsid w:val="001C4D08"/>
    <w:pPr>
      <w:spacing w:line="240" w:lineRule="auto"/>
      <w:ind w:left="720" w:hanging="720"/>
    </w:pPr>
  </w:style>
  <w:style w:type="paragraph" w:styleId="Header">
    <w:name w:val="header"/>
    <w:basedOn w:val="Normal"/>
    <w:link w:val="HeaderChar"/>
    <w:uiPriority w:val="99"/>
    <w:unhideWhenUsed/>
    <w:rsid w:val="009014E2"/>
    <w:pPr>
      <w:tabs>
        <w:tab w:val="center" w:pos="4320"/>
        <w:tab w:val="right" w:pos="8640"/>
      </w:tabs>
      <w:spacing w:line="240" w:lineRule="auto"/>
    </w:pPr>
  </w:style>
  <w:style w:type="character" w:customStyle="1" w:styleId="HeaderChar">
    <w:name w:val="Header Char"/>
    <w:basedOn w:val="DefaultParagraphFont"/>
    <w:link w:val="Header"/>
    <w:uiPriority w:val="99"/>
    <w:rsid w:val="009014E2"/>
  </w:style>
  <w:style w:type="paragraph" w:styleId="Footer">
    <w:name w:val="footer"/>
    <w:basedOn w:val="Normal"/>
    <w:link w:val="FooterChar"/>
    <w:uiPriority w:val="99"/>
    <w:unhideWhenUsed/>
    <w:rsid w:val="009014E2"/>
    <w:pPr>
      <w:tabs>
        <w:tab w:val="center" w:pos="4320"/>
        <w:tab w:val="right" w:pos="8640"/>
      </w:tabs>
      <w:spacing w:line="240" w:lineRule="auto"/>
    </w:pPr>
  </w:style>
  <w:style w:type="character" w:customStyle="1" w:styleId="FooterChar">
    <w:name w:val="Footer Char"/>
    <w:basedOn w:val="DefaultParagraphFont"/>
    <w:link w:val="Footer"/>
    <w:uiPriority w:val="99"/>
    <w:rsid w:val="009014E2"/>
  </w:style>
  <w:style w:type="paragraph" w:styleId="Title">
    <w:name w:val="Title"/>
    <w:basedOn w:val="Normal"/>
    <w:next w:val="Normal"/>
    <w:link w:val="TitleChar"/>
    <w:uiPriority w:val="10"/>
    <w:qFormat/>
    <w:rsid w:val="002E643D"/>
    <w:pPr>
      <w:spacing w:before="240" w:after="60"/>
      <w:jc w:val="center"/>
      <w:outlineLvl w:val="0"/>
    </w:pPr>
    <w:rPr>
      <w:rFonts w:ascii="Cambria" w:eastAsia="Times New Roman" w:hAnsi="Cambria" w:cs="Times New Roman"/>
      <w:b/>
      <w:bCs/>
      <w:kern w:val="28"/>
      <w:sz w:val="28"/>
      <w:szCs w:val="32"/>
    </w:rPr>
  </w:style>
  <w:style w:type="character" w:customStyle="1" w:styleId="TitleChar">
    <w:name w:val="Title Char"/>
    <w:link w:val="Title"/>
    <w:uiPriority w:val="10"/>
    <w:rsid w:val="002E643D"/>
    <w:rPr>
      <w:rFonts w:ascii="Cambria" w:eastAsia="Times New Roman" w:hAnsi="Cambria" w:cs="Times New Roman"/>
      <w:b/>
      <w:bCs/>
      <w:kern w:val="28"/>
      <w:sz w:val="28"/>
      <w:szCs w:val="32"/>
      <w:lang w:val="en-US" w:eastAsia="en-US"/>
    </w:rPr>
  </w:style>
  <w:style w:type="character" w:customStyle="1" w:styleId="Heading1Char">
    <w:name w:val="Heading 1 Char"/>
    <w:link w:val="Heading1"/>
    <w:uiPriority w:val="9"/>
    <w:rsid w:val="002E643D"/>
    <w:rPr>
      <w:rFonts w:ascii="Cambria" w:eastAsia="Times New Roman" w:hAnsi="Cambria" w:cs="Times New Roman"/>
      <w:b/>
      <w:bCs/>
      <w:kern w:val="32"/>
      <w:sz w:val="24"/>
      <w:szCs w:val="32"/>
      <w:lang w:val="en-US" w:eastAsia="en-US"/>
    </w:rPr>
  </w:style>
  <w:style w:type="character" w:styleId="Hyperlink">
    <w:name w:val="Hyperlink"/>
    <w:uiPriority w:val="99"/>
    <w:unhideWhenUsed/>
    <w:rsid w:val="00DA57A4"/>
    <w:rPr>
      <w:color w:val="0563C1"/>
      <w:u w:val="single"/>
    </w:rPr>
  </w:style>
  <w:style w:type="character" w:styleId="UnresolvedMention">
    <w:name w:val="Unresolved Mention"/>
    <w:uiPriority w:val="99"/>
    <w:semiHidden/>
    <w:unhideWhenUsed/>
    <w:rsid w:val="00DA57A4"/>
    <w:rPr>
      <w:color w:val="605E5C"/>
      <w:shd w:val="clear" w:color="auto" w:fill="E1DFDD"/>
    </w:rPr>
  </w:style>
  <w:style w:type="paragraph" w:styleId="BalloonText">
    <w:name w:val="Balloon Text"/>
    <w:basedOn w:val="Normal"/>
    <w:link w:val="BalloonTextChar"/>
    <w:uiPriority w:val="99"/>
    <w:semiHidden/>
    <w:unhideWhenUsed/>
    <w:rsid w:val="00E510F1"/>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510F1"/>
    <w:rPr>
      <w:rFonts w:ascii="Segoe UI" w:hAnsi="Segoe UI" w:cs="Segoe UI"/>
      <w:sz w:val="18"/>
      <w:szCs w:val="18"/>
      <w:lang w:val="en-US" w:eastAsia="en-US"/>
    </w:rPr>
  </w:style>
  <w:style w:type="character" w:customStyle="1" w:styleId="Heading2Char">
    <w:name w:val="Heading 2 Char"/>
    <w:basedOn w:val="DefaultParagraphFont"/>
    <w:link w:val="Heading2"/>
    <w:uiPriority w:val="9"/>
    <w:semiHidden/>
    <w:rsid w:val="00924C27"/>
    <w:rPr>
      <w:rFonts w:asciiTheme="majorHAnsi" w:eastAsiaTheme="majorEastAsia" w:hAnsiTheme="majorHAnsi" w:cstheme="majorBidi"/>
      <w:color w:val="0F4761" w:themeColor="accent1" w:themeShade="BF"/>
      <w:sz w:val="26"/>
      <w:szCs w:val="26"/>
      <w:lang w:val="en-US" w:eastAsia="en-US"/>
    </w:rPr>
  </w:style>
  <w:style w:type="character" w:styleId="FollowedHyperlink">
    <w:name w:val="FollowedHyperlink"/>
    <w:basedOn w:val="DefaultParagraphFont"/>
    <w:uiPriority w:val="99"/>
    <w:semiHidden/>
    <w:unhideWhenUsed/>
    <w:rsid w:val="008D1213"/>
    <w:rPr>
      <w:color w:val="96607D" w:themeColor="followedHyperlink"/>
      <w:u w:val="single"/>
    </w:rPr>
  </w:style>
  <w:style w:type="character" w:styleId="PageNumber">
    <w:name w:val="page number"/>
    <w:basedOn w:val="DefaultParagraphFont"/>
    <w:uiPriority w:val="99"/>
    <w:semiHidden/>
    <w:unhideWhenUsed/>
    <w:rsid w:val="00861E16"/>
  </w:style>
  <w:style w:type="character" w:styleId="CommentReference">
    <w:name w:val="annotation reference"/>
    <w:basedOn w:val="DefaultParagraphFont"/>
    <w:uiPriority w:val="99"/>
    <w:semiHidden/>
    <w:unhideWhenUsed/>
    <w:rsid w:val="00363F1F"/>
    <w:rPr>
      <w:rFonts w:cs="Times New Roman"/>
      <w:sz w:val="16"/>
    </w:rPr>
  </w:style>
  <w:style w:type="paragraph" w:styleId="NormalWeb">
    <w:name w:val="Normal (Web)"/>
    <w:basedOn w:val="Normal"/>
    <w:uiPriority w:val="99"/>
    <w:unhideWhenUsed/>
    <w:rsid w:val="00363F1F"/>
    <w:rPr>
      <w:rFonts w:ascii="Times New Roman" w:hAnsi="Times New Roman" w:cs="Times New Roman"/>
    </w:rPr>
  </w:style>
  <w:style w:type="character" w:customStyle="1" w:styleId="ListParagraphChar">
    <w:name w:val="List Paragraph Char"/>
    <w:link w:val="ListParagraph"/>
    <w:uiPriority w:val="34"/>
    <w:locked/>
    <w:rsid w:val="00363F1F"/>
    <w:rPr>
      <w:sz w:val="24"/>
      <w:szCs w:val="24"/>
      <w:lang w:val="en-US" w:eastAsia="en-US"/>
    </w:rPr>
  </w:style>
  <w:style w:type="character" w:styleId="Emphasis">
    <w:name w:val="Emphasis"/>
    <w:basedOn w:val="DefaultParagraphFont"/>
    <w:uiPriority w:val="20"/>
    <w:qFormat/>
    <w:rsid w:val="00D24A8C"/>
    <w:rPr>
      <w:i/>
      <w:iCs/>
    </w:rPr>
  </w:style>
  <w:style w:type="character" w:styleId="Strong">
    <w:name w:val="Strong"/>
    <w:basedOn w:val="DefaultParagraphFont"/>
    <w:uiPriority w:val="22"/>
    <w:qFormat/>
    <w:rsid w:val="00D24A8C"/>
    <w:rPr>
      <w:b/>
      <w:bCs/>
    </w:rPr>
  </w:style>
  <w:style w:type="paragraph" w:styleId="BodyText">
    <w:name w:val="Body Text"/>
    <w:basedOn w:val="Normal"/>
    <w:link w:val="BodyTextChar"/>
    <w:uiPriority w:val="1"/>
    <w:qFormat/>
    <w:rsid w:val="00BA067B"/>
    <w:pPr>
      <w:widowControl w:val="0"/>
      <w:autoSpaceDE w:val="0"/>
      <w:autoSpaceDN w:val="0"/>
      <w:spacing w:line="240" w:lineRule="auto"/>
      <w:ind w:left="221"/>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BA067B"/>
    <w:rPr>
      <w:rFonts w:ascii="Times New Roman" w:eastAsia="Times New Roman" w:hAnsi="Times New Roman" w:cs="Times New Roman"/>
      <w:sz w:val="24"/>
      <w:szCs w:val="24"/>
      <w:lang w:val="id" w:eastAsia="en-US"/>
    </w:rPr>
  </w:style>
  <w:style w:type="paragraph" w:styleId="CommentText">
    <w:name w:val="annotation text"/>
    <w:basedOn w:val="Normal"/>
    <w:link w:val="CommentTextChar"/>
    <w:uiPriority w:val="99"/>
    <w:unhideWhenUsed/>
    <w:rsid w:val="0031562E"/>
    <w:pPr>
      <w:spacing w:line="240" w:lineRule="auto"/>
    </w:pPr>
    <w:rPr>
      <w:sz w:val="20"/>
      <w:szCs w:val="20"/>
    </w:rPr>
  </w:style>
  <w:style w:type="character" w:customStyle="1" w:styleId="CommentTextChar">
    <w:name w:val="Comment Text Char"/>
    <w:basedOn w:val="DefaultParagraphFont"/>
    <w:link w:val="CommentText"/>
    <w:uiPriority w:val="99"/>
    <w:rsid w:val="0031562E"/>
    <w:rPr>
      <w:lang w:val="en-US" w:eastAsia="en-US"/>
    </w:rPr>
  </w:style>
  <w:style w:type="table" w:styleId="TableGrid">
    <w:name w:val="Table Grid"/>
    <w:basedOn w:val="TableNormal"/>
    <w:uiPriority w:val="39"/>
    <w:rsid w:val="00BF7689"/>
    <w:rPr>
      <w:rFonts w:asciiTheme="minorHAnsi" w:eastAsiaTheme="minorHAnsi" w:hAnsiTheme="minorHAnsi" w:cstheme="minorBidi"/>
      <w:kern w:val="2"/>
      <w:sz w:val="22"/>
      <w:szCs w:val="2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75459">
      <w:bodyDiv w:val="1"/>
      <w:marLeft w:val="0"/>
      <w:marRight w:val="0"/>
      <w:marTop w:val="0"/>
      <w:marBottom w:val="0"/>
      <w:divBdr>
        <w:top w:val="none" w:sz="0" w:space="0" w:color="auto"/>
        <w:left w:val="none" w:sz="0" w:space="0" w:color="auto"/>
        <w:bottom w:val="none" w:sz="0" w:space="0" w:color="auto"/>
        <w:right w:val="none" w:sz="0" w:space="0" w:color="auto"/>
      </w:divBdr>
      <w:divsChild>
        <w:div w:id="2013410241">
          <w:marLeft w:val="0"/>
          <w:marRight w:val="0"/>
          <w:marTop w:val="0"/>
          <w:marBottom w:val="0"/>
          <w:divBdr>
            <w:top w:val="none" w:sz="0" w:space="0" w:color="auto"/>
            <w:left w:val="none" w:sz="0" w:space="0" w:color="auto"/>
            <w:bottom w:val="none" w:sz="0" w:space="0" w:color="auto"/>
            <w:right w:val="none" w:sz="0" w:space="0" w:color="auto"/>
          </w:divBdr>
          <w:divsChild>
            <w:div w:id="1405881198">
              <w:marLeft w:val="0"/>
              <w:marRight w:val="0"/>
              <w:marTop w:val="0"/>
              <w:marBottom w:val="0"/>
              <w:divBdr>
                <w:top w:val="none" w:sz="0" w:space="0" w:color="auto"/>
                <w:left w:val="none" w:sz="0" w:space="0" w:color="auto"/>
                <w:bottom w:val="none" w:sz="0" w:space="0" w:color="auto"/>
                <w:right w:val="none" w:sz="0" w:space="0" w:color="auto"/>
              </w:divBdr>
              <w:divsChild>
                <w:div w:id="203755509">
                  <w:marLeft w:val="0"/>
                  <w:marRight w:val="0"/>
                  <w:marTop w:val="0"/>
                  <w:marBottom w:val="0"/>
                  <w:divBdr>
                    <w:top w:val="none" w:sz="0" w:space="0" w:color="auto"/>
                    <w:left w:val="none" w:sz="0" w:space="0" w:color="auto"/>
                    <w:bottom w:val="none" w:sz="0" w:space="0" w:color="auto"/>
                    <w:right w:val="none" w:sz="0" w:space="0" w:color="auto"/>
                  </w:divBdr>
                  <w:divsChild>
                    <w:div w:id="1491943272">
                      <w:marLeft w:val="0"/>
                      <w:marRight w:val="0"/>
                      <w:marTop w:val="0"/>
                      <w:marBottom w:val="0"/>
                      <w:divBdr>
                        <w:top w:val="none" w:sz="0" w:space="0" w:color="auto"/>
                        <w:left w:val="none" w:sz="0" w:space="0" w:color="auto"/>
                        <w:bottom w:val="none" w:sz="0" w:space="0" w:color="auto"/>
                        <w:right w:val="none" w:sz="0" w:space="0" w:color="auto"/>
                      </w:divBdr>
                      <w:divsChild>
                        <w:div w:id="324631626">
                          <w:marLeft w:val="0"/>
                          <w:marRight w:val="0"/>
                          <w:marTop w:val="0"/>
                          <w:marBottom w:val="0"/>
                          <w:divBdr>
                            <w:top w:val="none" w:sz="0" w:space="0" w:color="auto"/>
                            <w:left w:val="none" w:sz="0" w:space="0" w:color="auto"/>
                            <w:bottom w:val="none" w:sz="0" w:space="0" w:color="auto"/>
                            <w:right w:val="none" w:sz="0" w:space="0" w:color="auto"/>
                          </w:divBdr>
                          <w:divsChild>
                            <w:div w:id="153165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317829">
                  <w:marLeft w:val="0"/>
                  <w:marRight w:val="0"/>
                  <w:marTop w:val="0"/>
                  <w:marBottom w:val="0"/>
                  <w:divBdr>
                    <w:top w:val="none" w:sz="0" w:space="0" w:color="auto"/>
                    <w:left w:val="none" w:sz="0" w:space="0" w:color="auto"/>
                    <w:bottom w:val="none" w:sz="0" w:space="0" w:color="auto"/>
                    <w:right w:val="none" w:sz="0" w:space="0" w:color="auto"/>
                  </w:divBdr>
                  <w:divsChild>
                    <w:div w:id="108830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75040">
      <w:bodyDiv w:val="1"/>
      <w:marLeft w:val="0"/>
      <w:marRight w:val="0"/>
      <w:marTop w:val="0"/>
      <w:marBottom w:val="0"/>
      <w:divBdr>
        <w:top w:val="none" w:sz="0" w:space="0" w:color="auto"/>
        <w:left w:val="none" w:sz="0" w:space="0" w:color="auto"/>
        <w:bottom w:val="none" w:sz="0" w:space="0" w:color="auto"/>
        <w:right w:val="none" w:sz="0" w:space="0" w:color="auto"/>
      </w:divBdr>
      <w:divsChild>
        <w:div w:id="914555013">
          <w:marLeft w:val="0"/>
          <w:marRight w:val="0"/>
          <w:marTop w:val="0"/>
          <w:marBottom w:val="0"/>
          <w:divBdr>
            <w:top w:val="none" w:sz="0" w:space="0" w:color="auto"/>
            <w:left w:val="none" w:sz="0" w:space="0" w:color="auto"/>
            <w:bottom w:val="none" w:sz="0" w:space="0" w:color="auto"/>
            <w:right w:val="none" w:sz="0" w:space="0" w:color="auto"/>
          </w:divBdr>
        </w:div>
        <w:div w:id="1474367807">
          <w:marLeft w:val="0"/>
          <w:marRight w:val="0"/>
          <w:marTop w:val="0"/>
          <w:marBottom w:val="0"/>
          <w:divBdr>
            <w:top w:val="none" w:sz="0" w:space="0" w:color="auto"/>
            <w:left w:val="none" w:sz="0" w:space="0" w:color="auto"/>
            <w:bottom w:val="none" w:sz="0" w:space="0" w:color="auto"/>
            <w:right w:val="none" w:sz="0" w:space="0" w:color="auto"/>
          </w:divBdr>
        </w:div>
        <w:div w:id="1677464016">
          <w:marLeft w:val="0"/>
          <w:marRight w:val="0"/>
          <w:marTop w:val="0"/>
          <w:marBottom w:val="0"/>
          <w:divBdr>
            <w:top w:val="none" w:sz="0" w:space="0" w:color="auto"/>
            <w:left w:val="none" w:sz="0" w:space="0" w:color="auto"/>
            <w:bottom w:val="none" w:sz="0" w:space="0" w:color="auto"/>
            <w:right w:val="none" w:sz="0" w:space="0" w:color="auto"/>
          </w:divBdr>
        </w:div>
        <w:div w:id="1934968459">
          <w:marLeft w:val="0"/>
          <w:marRight w:val="0"/>
          <w:marTop w:val="0"/>
          <w:marBottom w:val="0"/>
          <w:divBdr>
            <w:top w:val="none" w:sz="0" w:space="0" w:color="auto"/>
            <w:left w:val="none" w:sz="0" w:space="0" w:color="auto"/>
            <w:bottom w:val="none" w:sz="0" w:space="0" w:color="auto"/>
            <w:right w:val="none" w:sz="0" w:space="0" w:color="auto"/>
          </w:divBdr>
        </w:div>
      </w:divsChild>
    </w:div>
    <w:div w:id="176387951">
      <w:bodyDiv w:val="1"/>
      <w:marLeft w:val="0"/>
      <w:marRight w:val="0"/>
      <w:marTop w:val="0"/>
      <w:marBottom w:val="0"/>
      <w:divBdr>
        <w:top w:val="none" w:sz="0" w:space="0" w:color="auto"/>
        <w:left w:val="none" w:sz="0" w:space="0" w:color="auto"/>
        <w:bottom w:val="none" w:sz="0" w:space="0" w:color="auto"/>
        <w:right w:val="none" w:sz="0" w:space="0" w:color="auto"/>
      </w:divBdr>
      <w:divsChild>
        <w:div w:id="631709748">
          <w:marLeft w:val="0"/>
          <w:marRight w:val="0"/>
          <w:marTop w:val="0"/>
          <w:marBottom w:val="0"/>
          <w:divBdr>
            <w:top w:val="none" w:sz="0" w:space="0" w:color="auto"/>
            <w:left w:val="none" w:sz="0" w:space="0" w:color="auto"/>
            <w:bottom w:val="none" w:sz="0" w:space="0" w:color="auto"/>
            <w:right w:val="none" w:sz="0" w:space="0" w:color="auto"/>
          </w:divBdr>
          <w:divsChild>
            <w:div w:id="165873245">
              <w:marLeft w:val="0"/>
              <w:marRight w:val="0"/>
              <w:marTop w:val="0"/>
              <w:marBottom w:val="0"/>
              <w:divBdr>
                <w:top w:val="none" w:sz="0" w:space="0" w:color="auto"/>
                <w:left w:val="none" w:sz="0" w:space="0" w:color="auto"/>
                <w:bottom w:val="none" w:sz="0" w:space="0" w:color="auto"/>
                <w:right w:val="none" w:sz="0" w:space="0" w:color="auto"/>
              </w:divBdr>
              <w:divsChild>
                <w:div w:id="395201201">
                  <w:marLeft w:val="0"/>
                  <w:marRight w:val="0"/>
                  <w:marTop w:val="0"/>
                  <w:marBottom w:val="0"/>
                  <w:divBdr>
                    <w:top w:val="none" w:sz="0" w:space="0" w:color="auto"/>
                    <w:left w:val="none" w:sz="0" w:space="0" w:color="auto"/>
                    <w:bottom w:val="none" w:sz="0" w:space="0" w:color="auto"/>
                    <w:right w:val="none" w:sz="0" w:space="0" w:color="auto"/>
                  </w:divBdr>
                  <w:divsChild>
                    <w:div w:id="1777140366">
                      <w:marLeft w:val="0"/>
                      <w:marRight w:val="0"/>
                      <w:marTop w:val="0"/>
                      <w:marBottom w:val="0"/>
                      <w:divBdr>
                        <w:top w:val="none" w:sz="0" w:space="0" w:color="auto"/>
                        <w:left w:val="none" w:sz="0" w:space="0" w:color="auto"/>
                        <w:bottom w:val="none" w:sz="0" w:space="0" w:color="auto"/>
                        <w:right w:val="none" w:sz="0" w:space="0" w:color="auto"/>
                      </w:divBdr>
                      <w:divsChild>
                        <w:div w:id="1806004218">
                          <w:marLeft w:val="0"/>
                          <w:marRight w:val="0"/>
                          <w:marTop w:val="0"/>
                          <w:marBottom w:val="0"/>
                          <w:divBdr>
                            <w:top w:val="none" w:sz="0" w:space="0" w:color="auto"/>
                            <w:left w:val="none" w:sz="0" w:space="0" w:color="auto"/>
                            <w:bottom w:val="none" w:sz="0" w:space="0" w:color="auto"/>
                            <w:right w:val="none" w:sz="0" w:space="0" w:color="auto"/>
                          </w:divBdr>
                        </w:div>
                      </w:divsChild>
                    </w:div>
                    <w:div w:id="1923954658">
                      <w:marLeft w:val="0"/>
                      <w:marRight w:val="0"/>
                      <w:marTop w:val="0"/>
                      <w:marBottom w:val="0"/>
                      <w:divBdr>
                        <w:top w:val="none" w:sz="0" w:space="0" w:color="auto"/>
                        <w:left w:val="none" w:sz="0" w:space="0" w:color="auto"/>
                        <w:bottom w:val="none" w:sz="0" w:space="0" w:color="auto"/>
                        <w:right w:val="none" w:sz="0" w:space="0" w:color="auto"/>
                      </w:divBdr>
                      <w:divsChild>
                        <w:div w:id="753012993">
                          <w:marLeft w:val="0"/>
                          <w:marRight w:val="0"/>
                          <w:marTop w:val="0"/>
                          <w:marBottom w:val="0"/>
                          <w:divBdr>
                            <w:top w:val="none" w:sz="0" w:space="0" w:color="auto"/>
                            <w:left w:val="none" w:sz="0" w:space="0" w:color="auto"/>
                            <w:bottom w:val="none" w:sz="0" w:space="0" w:color="auto"/>
                            <w:right w:val="none" w:sz="0" w:space="0" w:color="auto"/>
                          </w:divBdr>
                          <w:divsChild>
                            <w:div w:id="298845656">
                              <w:marLeft w:val="0"/>
                              <w:marRight w:val="0"/>
                              <w:marTop w:val="0"/>
                              <w:marBottom w:val="0"/>
                              <w:divBdr>
                                <w:top w:val="none" w:sz="0" w:space="0" w:color="auto"/>
                                <w:left w:val="none" w:sz="0" w:space="0" w:color="auto"/>
                                <w:bottom w:val="none" w:sz="0" w:space="0" w:color="auto"/>
                                <w:right w:val="none" w:sz="0" w:space="0" w:color="auto"/>
                              </w:divBdr>
                              <w:divsChild>
                                <w:div w:id="873811300">
                                  <w:marLeft w:val="0"/>
                                  <w:marRight w:val="0"/>
                                  <w:marTop w:val="0"/>
                                  <w:marBottom w:val="0"/>
                                  <w:divBdr>
                                    <w:top w:val="none" w:sz="0" w:space="0" w:color="auto"/>
                                    <w:left w:val="none" w:sz="0" w:space="0" w:color="auto"/>
                                    <w:bottom w:val="none" w:sz="0" w:space="0" w:color="auto"/>
                                    <w:right w:val="none" w:sz="0" w:space="0" w:color="auto"/>
                                  </w:divBdr>
                                  <w:divsChild>
                                    <w:div w:id="80500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773177">
      <w:bodyDiv w:val="1"/>
      <w:marLeft w:val="0"/>
      <w:marRight w:val="0"/>
      <w:marTop w:val="0"/>
      <w:marBottom w:val="0"/>
      <w:divBdr>
        <w:top w:val="none" w:sz="0" w:space="0" w:color="auto"/>
        <w:left w:val="none" w:sz="0" w:space="0" w:color="auto"/>
        <w:bottom w:val="none" w:sz="0" w:space="0" w:color="auto"/>
        <w:right w:val="none" w:sz="0" w:space="0" w:color="auto"/>
      </w:divBdr>
    </w:div>
    <w:div w:id="254286298">
      <w:bodyDiv w:val="1"/>
      <w:marLeft w:val="0"/>
      <w:marRight w:val="0"/>
      <w:marTop w:val="0"/>
      <w:marBottom w:val="0"/>
      <w:divBdr>
        <w:top w:val="none" w:sz="0" w:space="0" w:color="auto"/>
        <w:left w:val="none" w:sz="0" w:space="0" w:color="auto"/>
        <w:bottom w:val="none" w:sz="0" w:space="0" w:color="auto"/>
        <w:right w:val="none" w:sz="0" w:space="0" w:color="auto"/>
      </w:divBdr>
    </w:div>
    <w:div w:id="308246513">
      <w:bodyDiv w:val="1"/>
      <w:marLeft w:val="0"/>
      <w:marRight w:val="0"/>
      <w:marTop w:val="0"/>
      <w:marBottom w:val="0"/>
      <w:divBdr>
        <w:top w:val="none" w:sz="0" w:space="0" w:color="auto"/>
        <w:left w:val="none" w:sz="0" w:space="0" w:color="auto"/>
        <w:bottom w:val="none" w:sz="0" w:space="0" w:color="auto"/>
        <w:right w:val="none" w:sz="0" w:space="0" w:color="auto"/>
      </w:divBdr>
    </w:div>
    <w:div w:id="437136921">
      <w:bodyDiv w:val="1"/>
      <w:marLeft w:val="0"/>
      <w:marRight w:val="0"/>
      <w:marTop w:val="0"/>
      <w:marBottom w:val="0"/>
      <w:divBdr>
        <w:top w:val="none" w:sz="0" w:space="0" w:color="auto"/>
        <w:left w:val="none" w:sz="0" w:space="0" w:color="auto"/>
        <w:bottom w:val="none" w:sz="0" w:space="0" w:color="auto"/>
        <w:right w:val="none" w:sz="0" w:space="0" w:color="auto"/>
      </w:divBdr>
    </w:div>
    <w:div w:id="470486545">
      <w:bodyDiv w:val="1"/>
      <w:marLeft w:val="0"/>
      <w:marRight w:val="0"/>
      <w:marTop w:val="0"/>
      <w:marBottom w:val="0"/>
      <w:divBdr>
        <w:top w:val="none" w:sz="0" w:space="0" w:color="auto"/>
        <w:left w:val="none" w:sz="0" w:space="0" w:color="auto"/>
        <w:bottom w:val="none" w:sz="0" w:space="0" w:color="auto"/>
        <w:right w:val="none" w:sz="0" w:space="0" w:color="auto"/>
      </w:divBdr>
    </w:div>
    <w:div w:id="534315804">
      <w:bodyDiv w:val="1"/>
      <w:marLeft w:val="0"/>
      <w:marRight w:val="0"/>
      <w:marTop w:val="0"/>
      <w:marBottom w:val="0"/>
      <w:divBdr>
        <w:top w:val="none" w:sz="0" w:space="0" w:color="auto"/>
        <w:left w:val="none" w:sz="0" w:space="0" w:color="auto"/>
        <w:bottom w:val="none" w:sz="0" w:space="0" w:color="auto"/>
        <w:right w:val="none" w:sz="0" w:space="0" w:color="auto"/>
      </w:divBdr>
    </w:div>
    <w:div w:id="550771536">
      <w:bodyDiv w:val="1"/>
      <w:marLeft w:val="0"/>
      <w:marRight w:val="0"/>
      <w:marTop w:val="0"/>
      <w:marBottom w:val="0"/>
      <w:divBdr>
        <w:top w:val="none" w:sz="0" w:space="0" w:color="auto"/>
        <w:left w:val="none" w:sz="0" w:space="0" w:color="auto"/>
        <w:bottom w:val="none" w:sz="0" w:space="0" w:color="auto"/>
        <w:right w:val="none" w:sz="0" w:space="0" w:color="auto"/>
      </w:divBdr>
    </w:div>
    <w:div w:id="1027216048">
      <w:bodyDiv w:val="1"/>
      <w:marLeft w:val="0"/>
      <w:marRight w:val="0"/>
      <w:marTop w:val="0"/>
      <w:marBottom w:val="0"/>
      <w:divBdr>
        <w:top w:val="none" w:sz="0" w:space="0" w:color="auto"/>
        <w:left w:val="none" w:sz="0" w:space="0" w:color="auto"/>
        <w:bottom w:val="none" w:sz="0" w:space="0" w:color="auto"/>
        <w:right w:val="none" w:sz="0" w:space="0" w:color="auto"/>
      </w:divBdr>
    </w:div>
    <w:div w:id="1027678350">
      <w:bodyDiv w:val="1"/>
      <w:marLeft w:val="0"/>
      <w:marRight w:val="0"/>
      <w:marTop w:val="0"/>
      <w:marBottom w:val="0"/>
      <w:divBdr>
        <w:top w:val="none" w:sz="0" w:space="0" w:color="auto"/>
        <w:left w:val="none" w:sz="0" w:space="0" w:color="auto"/>
        <w:bottom w:val="none" w:sz="0" w:space="0" w:color="auto"/>
        <w:right w:val="none" w:sz="0" w:space="0" w:color="auto"/>
      </w:divBdr>
      <w:divsChild>
        <w:div w:id="467744134">
          <w:marLeft w:val="0"/>
          <w:marRight w:val="0"/>
          <w:marTop w:val="0"/>
          <w:marBottom w:val="0"/>
          <w:divBdr>
            <w:top w:val="none" w:sz="0" w:space="0" w:color="auto"/>
            <w:left w:val="none" w:sz="0" w:space="0" w:color="auto"/>
            <w:bottom w:val="none" w:sz="0" w:space="0" w:color="auto"/>
            <w:right w:val="none" w:sz="0" w:space="0" w:color="auto"/>
          </w:divBdr>
        </w:div>
        <w:div w:id="1072779112">
          <w:marLeft w:val="0"/>
          <w:marRight w:val="0"/>
          <w:marTop w:val="0"/>
          <w:marBottom w:val="0"/>
          <w:divBdr>
            <w:top w:val="none" w:sz="0" w:space="0" w:color="auto"/>
            <w:left w:val="none" w:sz="0" w:space="0" w:color="auto"/>
            <w:bottom w:val="none" w:sz="0" w:space="0" w:color="auto"/>
            <w:right w:val="none" w:sz="0" w:space="0" w:color="auto"/>
          </w:divBdr>
        </w:div>
        <w:div w:id="1747530700">
          <w:marLeft w:val="0"/>
          <w:marRight w:val="0"/>
          <w:marTop w:val="0"/>
          <w:marBottom w:val="0"/>
          <w:divBdr>
            <w:top w:val="none" w:sz="0" w:space="0" w:color="auto"/>
            <w:left w:val="none" w:sz="0" w:space="0" w:color="auto"/>
            <w:bottom w:val="none" w:sz="0" w:space="0" w:color="auto"/>
            <w:right w:val="none" w:sz="0" w:space="0" w:color="auto"/>
          </w:divBdr>
        </w:div>
        <w:div w:id="2027172449">
          <w:marLeft w:val="0"/>
          <w:marRight w:val="0"/>
          <w:marTop w:val="0"/>
          <w:marBottom w:val="0"/>
          <w:divBdr>
            <w:top w:val="none" w:sz="0" w:space="0" w:color="auto"/>
            <w:left w:val="none" w:sz="0" w:space="0" w:color="auto"/>
            <w:bottom w:val="none" w:sz="0" w:space="0" w:color="auto"/>
            <w:right w:val="none" w:sz="0" w:space="0" w:color="auto"/>
          </w:divBdr>
        </w:div>
      </w:divsChild>
    </w:div>
    <w:div w:id="1123840370">
      <w:bodyDiv w:val="1"/>
      <w:marLeft w:val="0"/>
      <w:marRight w:val="0"/>
      <w:marTop w:val="0"/>
      <w:marBottom w:val="0"/>
      <w:divBdr>
        <w:top w:val="none" w:sz="0" w:space="0" w:color="auto"/>
        <w:left w:val="none" w:sz="0" w:space="0" w:color="auto"/>
        <w:bottom w:val="none" w:sz="0" w:space="0" w:color="auto"/>
        <w:right w:val="none" w:sz="0" w:space="0" w:color="auto"/>
      </w:divBdr>
      <w:divsChild>
        <w:div w:id="1681736544">
          <w:marLeft w:val="0"/>
          <w:marRight w:val="0"/>
          <w:marTop w:val="0"/>
          <w:marBottom w:val="0"/>
          <w:divBdr>
            <w:top w:val="none" w:sz="0" w:space="0" w:color="auto"/>
            <w:left w:val="none" w:sz="0" w:space="0" w:color="auto"/>
            <w:bottom w:val="none" w:sz="0" w:space="0" w:color="auto"/>
            <w:right w:val="none" w:sz="0" w:space="0" w:color="auto"/>
          </w:divBdr>
          <w:divsChild>
            <w:div w:id="1028947582">
              <w:marLeft w:val="0"/>
              <w:marRight w:val="0"/>
              <w:marTop w:val="0"/>
              <w:marBottom w:val="0"/>
              <w:divBdr>
                <w:top w:val="none" w:sz="0" w:space="0" w:color="auto"/>
                <w:left w:val="none" w:sz="0" w:space="0" w:color="auto"/>
                <w:bottom w:val="none" w:sz="0" w:space="0" w:color="auto"/>
                <w:right w:val="none" w:sz="0" w:space="0" w:color="auto"/>
              </w:divBdr>
              <w:divsChild>
                <w:div w:id="1835340189">
                  <w:marLeft w:val="0"/>
                  <w:marRight w:val="0"/>
                  <w:marTop w:val="0"/>
                  <w:marBottom w:val="0"/>
                  <w:divBdr>
                    <w:top w:val="none" w:sz="0" w:space="0" w:color="auto"/>
                    <w:left w:val="none" w:sz="0" w:space="0" w:color="auto"/>
                    <w:bottom w:val="none" w:sz="0" w:space="0" w:color="auto"/>
                    <w:right w:val="none" w:sz="0" w:space="0" w:color="auto"/>
                  </w:divBdr>
                  <w:divsChild>
                    <w:div w:id="1519195404">
                      <w:marLeft w:val="0"/>
                      <w:marRight w:val="0"/>
                      <w:marTop w:val="0"/>
                      <w:marBottom w:val="0"/>
                      <w:divBdr>
                        <w:top w:val="none" w:sz="0" w:space="0" w:color="auto"/>
                        <w:left w:val="none" w:sz="0" w:space="0" w:color="auto"/>
                        <w:bottom w:val="none" w:sz="0" w:space="0" w:color="auto"/>
                        <w:right w:val="none" w:sz="0" w:space="0" w:color="auto"/>
                      </w:divBdr>
                      <w:divsChild>
                        <w:div w:id="573321555">
                          <w:marLeft w:val="0"/>
                          <w:marRight w:val="0"/>
                          <w:marTop w:val="0"/>
                          <w:marBottom w:val="0"/>
                          <w:divBdr>
                            <w:top w:val="none" w:sz="0" w:space="0" w:color="auto"/>
                            <w:left w:val="none" w:sz="0" w:space="0" w:color="auto"/>
                            <w:bottom w:val="none" w:sz="0" w:space="0" w:color="auto"/>
                            <w:right w:val="none" w:sz="0" w:space="0" w:color="auto"/>
                          </w:divBdr>
                          <w:divsChild>
                            <w:div w:id="1779327701">
                              <w:marLeft w:val="0"/>
                              <w:marRight w:val="0"/>
                              <w:marTop w:val="0"/>
                              <w:marBottom w:val="0"/>
                              <w:divBdr>
                                <w:top w:val="none" w:sz="0" w:space="0" w:color="auto"/>
                                <w:left w:val="none" w:sz="0" w:space="0" w:color="auto"/>
                                <w:bottom w:val="none" w:sz="0" w:space="0" w:color="auto"/>
                                <w:right w:val="none" w:sz="0" w:space="0" w:color="auto"/>
                              </w:divBdr>
                              <w:divsChild>
                                <w:div w:id="343287917">
                                  <w:marLeft w:val="0"/>
                                  <w:marRight w:val="0"/>
                                  <w:marTop w:val="0"/>
                                  <w:marBottom w:val="0"/>
                                  <w:divBdr>
                                    <w:top w:val="none" w:sz="0" w:space="0" w:color="auto"/>
                                    <w:left w:val="none" w:sz="0" w:space="0" w:color="auto"/>
                                    <w:bottom w:val="none" w:sz="0" w:space="0" w:color="auto"/>
                                    <w:right w:val="none" w:sz="0" w:space="0" w:color="auto"/>
                                  </w:divBdr>
                                  <w:divsChild>
                                    <w:div w:id="63251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286231">
                      <w:marLeft w:val="0"/>
                      <w:marRight w:val="0"/>
                      <w:marTop w:val="0"/>
                      <w:marBottom w:val="0"/>
                      <w:divBdr>
                        <w:top w:val="none" w:sz="0" w:space="0" w:color="auto"/>
                        <w:left w:val="none" w:sz="0" w:space="0" w:color="auto"/>
                        <w:bottom w:val="none" w:sz="0" w:space="0" w:color="auto"/>
                        <w:right w:val="none" w:sz="0" w:space="0" w:color="auto"/>
                      </w:divBdr>
                      <w:divsChild>
                        <w:div w:id="17545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312666">
      <w:bodyDiv w:val="1"/>
      <w:marLeft w:val="0"/>
      <w:marRight w:val="0"/>
      <w:marTop w:val="0"/>
      <w:marBottom w:val="0"/>
      <w:divBdr>
        <w:top w:val="none" w:sz="0" w:space="0" w:color="auto"/>
        <w:left w:val="none" w:sz="0" w:space="0" w:color="auto"/>
        <w:bottom w:val="none" w:sz="0" w:space="0" w:color="auto"/>
        <w:right w:val="none" w:sz="0" w:space="0" w:color="auto"/>
      </w:divBdr>
    </w:div>
    <w:div w:id="1415783399">
      <w:bodyDiv w:val="1"/>
      <w:marLeft w:val="0"/>
      <w:marRight w:val="0"/>
      <w:marTop w:val="0"/>
      <w:marBottom w:val="0"/>
      <w:divBdr>
        <w:top w:val="none" w:sz="0" w:space="0" w:color="auto"/>
        <w:left w:val="none" w:sz="0" w:space="0" w:color="auto"/>
        <w:bottom w:val="none" w:sz="0" w:space="0" w:color="auto"/>
        <w:right w:val="none" w:sz="0" w:space="0" w:color="auto"/>
      </w:divBdr>
    </w:div>
    <w:div w:id="1462266993">
      <w:bodyDiv w:val="1"/>
      <w:marLeft w:val="0"/>
      <w:marRight w:val="0"/>
      <w:marTop w:val="0"/>
      <w:marBottom w:val="0"/>
      <w:divBdr>
        <w:top w:val="none" w:sz="0" w:space="0" w:color="auto"/>
        <w:left w:val="none" w:sz="0" w:space="0" w:color="auto"/>
        <w:bottom w:val="none" w:sz="0" w:space="0" w:color="auto"/>
        <w:right w:val="none" w:sz="0" w:space="0" w:color="auto"/>
      </w:divBdr>
    </w:div>
    <w:div w:id="1463883144">
      <w:bodyDiv w:val="1"/>
      <w:marLeft w:val="0"/>
      <w:marRight w:val="0"/>
      <w:marTop w:val="0"/>
      <w:marBottom w:val="0"/>
      <w:divBdr>
        <w:top w:val="none" w:sz="0" w:space="0" w:color="auto"/>
        <w:left w:val="none" w:sz="0" w:space="0" w:color="auto"/>
        <w:bottom w:val="none" w:sz="0" w:space="0" w:color="auto"/>
        <w:right w:val="none" w:sz="0" w:space="0" w:color="auto"/>
      </w:divBdr>
    </w:div>
    <w:div w:id="1810393155">
      <w:bodyDiv w:val="1"/>
      <w:marLeft w:val="0"/>
      <w:marRight w:val="0"/>
      <w:marTop w:val="0"/>
      <w:marBottom w:val="0"/>
      <w:divBdr>
        <w:top w:val="none" w:sz="0" w:space="0" w:color="auto"/>
        <w:left w:val="none" w:sz="0" w:space="0" w:color="auto"/>
        <w:bottom w:val="none" w:sz="0" w:space="0" w:color="auto"/>
        <w:right w:val="none" w:sz="0" w:space="0" w:color="auto"/>
      </w:divBdr>
    </w:div>
    <w:div w:id="1855261956">
      <w:bodyDiv w:val="1"/>
      <w:marLeft w:val="0"/>
      <w:marRight w:val="0"/>
      <w:marTop w:val="0"/>
      <w:marBottom w:val="0"/>
      <w:divBdr>
        <w:top w:val="none" w:sz="0" w:space="0" w:color="auto"/>
        <w:left w:val="none" w:sz="0" w:space="0" w:color="auto"/>
        <w:bottom w:val="none" w:sz="0" w:space="0" w:color="auto"/>
        <w:right w:val="none" w:sz="0" w:space="0" w:color="auto"/>
      </w:divBdr>
    </w:div>
    <w:div w:id="1871648728">
      <w:bodyDiv w:val="1"/>
      <w:marLeft w:val="0"/>
      <w:marRight w:val="0"/>
      <w:marTop w:val="0"/>
      <w:marBottom w:val="0"/>
      <w:divBdr>
        <w:top w:val="none" w:sz="0" w:space="0" w:color="auto"/>
        <w:left w:val="none" w:sz="0" w:space="0" w:color="auto"/>
        <w:bottom w:val="none" w:sz="0" w:space="0" w:color="auto"/>
        <w:right w:val="none" w:sz="0" w:space="0" w:color="auto"/>
      </w:divBdr>
    </w:div>
    <w:div w:id="1894190901">
      <w:bodyDiv w:val="1"/>
      <w:marLeft w:val="0"/>
      <w:marRight w:val="0"/>
      <w:marTop w:val="0"/>
      <w:marBottom w:val="0"/>
      <w:divBdr>
        <w:top w:val="none" w:sz="0" w:space="0" w:color="auto"/>
        <w:left w:val="none" w:sz="0" w:space="0" w:color="auto"/>
        <w:bottom w:val="none" w:sz="0" w:space="0" w:color="auto"/>
        <w:right w:val="none" w:sz="0" w:space="0" w:color="auto"/>
      </w:divBdr>
    </w:div>
    <w:div w:id="1942833692">
      <w:bodyDiv w:val="1"/>
      <w:marLeft w:val="0"/>
      <w:marRight w:val="0"/>
      <w:marTop w:val="0"/>
      <w:marBottom w:val="0"/>
      <w:divBdr>
        <w:top w:val="none" w:sz="0" w:space="0" w:color="auto"/>
        <w:left w:val="none" w:sz="0" w:space="0" w:color="auto"/>
        <w:bottom w:val="none" w:sz="0" w:space="0" w:color="auto"/>
        <w:right w:val="none" w:sz="0" w:space="0" w:color="auto"/>
      </w:divBdr>
      <w:divsChild>
        <w:div w:id="212735531">
          <w:marLeft w:val="0"/>
          <w:marRight w:val="0"/>
          <w:marTop w:val="0"/>
          <w:marBottom w:val="0"/>
          <w:divBdr>
            <w:top w:val="none" w:sz="0" w:space="0" w:color="auto"/>
            <w:left w:val="none" w:sz="0" w:space="0" w:color="auto"/>
            <w:bottom w:val="none" w:sz="0" w:space="0" w:color="auto"/>
            <w:right w:val="none" w:sz="0" w:space="0" w:color="auto"/>
          </w:divBdr>
        </w:div>
        <w:div w:id="435712722">
          <w:marLeft w:val="0"/>
          <w:marRight w:val="0"/>
          <w:marTop w:val="0"/>
          <w:marBottom w:val="0"/>
          <w:divBdr>
            <w:top w:val="none" w:sz="0" w:space="0" w:color="auto"/>
            <w:left w:val="none" w:sz="0" w:space="0" w:color="auto"/>
            <w:bottom w:val="none" w:sz="0" w:space="0" w:color="auto"/>
            <w:right w:val="none" w:sz="0" w:space="0" w:color="auto"/>
          </w:divBdr>
        </w:div>
        <w:div w:id="490485607">
          <w:marLeft w:val="0"/>
          <w:marRight w:val="0"/>
          <w:marTop w:val="0"/>
          <w:marBottom w:val="0"/>
          <w:divBdr>
            <w:top w:val="none" w:sz="0" w:space="0" w:color="auto"/>
            <w:left w:val="none" w:sz="0" w:space="0" w:color="auto"/>
            <w:bottom w:val="none" w:sz="0" w:space="0" w:color="auto"/>
            <w:right w:val="none" w:sz="0" w:space="0" w:color="auto"/>
          </w:divBdr>
        </w:div>
        <w:div w:id="1824003358">
          <w:marLeft w:val="0"/>
          <w:marRight w:val="0"/>
          <w:marTop w:val="0"/>
          <w:marBottom w:val="0"/>
          <w:divBdr>
            <w:top w:val="none" w:sz="0" w:space="0" w:color="auto"/>
            <w:left w:val="none" w:sz="0" w:space="0" w:color="auto"/>
            <w:bottom w:val="none" w:sz="0" w:space="0" w:color="auto"/>
            <w:right w:val="none" w:sz="0" w:space="0" w:color="auto"/>
          </w:divBdr>
        </w:div>
      </w:divsChild>
    </w:div>
    <w:div w:id="2031761460">
      <w:bodyDiv w:val="1"/>
      <w:marLeft w:val="0"/>
      <w:marRight w:val="0"/>
      <w:marTop w:val="0"/>
      <w:marBottom w:val="0"/>
      <w:divBdr>
        <w:top w:val="none" w:sz="0" w:space="0" w:color="auto"/>
        <w:left w:val="none" w:sz="0" w:space="0" w:color="auto"/>
        <w:bottom w:val="none" w:sz="0" w:space="0" w:color="auto"/>
        <w:right w:val="none" w:sz="0" w:space="0" w:color="auto"/>
      </w:divBdr>
    </w:div>
    <w:div w:id="2044094731">
      <w:bodyDiv w:val="1"/>
      <w:marLeft w:val="0"/>
      <w:marRight w:val="0"/>
      <w:marTop w:val="0"/>
      <w:marBottom w:val="0"/>
      <w:divBdr>
        <w:top w:val="none" w:sz="0" w:space="0" w:color="auto"/>
        <w:left w:val="none" w:sz="0" w:space="0" w:color="auto"/>
        <w:bottom w:val="none" w:sz="0" w:space="0" w:color="auto"/>
        <w:right w:val="none" w:sz="0" w:space="0" w:color="auto"/>
      </w:divBdr>
    </w:div>
    <w:div w:id="2063402125">
      <w:bodyDiv w:val="1"/>
      <w:marLeft w:val="0"/>
      <w:marRight w:val="0"/>
      <w:marTop w:val="0"/>
      <w:marBottom w:val="0"/>
      <w:divBdr>
        <w:top w:val="none" w:sz="0" w:space="0" w:color="auto"/>
        <w:left w:val="none" w:sz="0" w:space="0" w:color="auto"/>
        <w:bottom w:val="none" w:sz="0" w:space="0" w:color="auto"/>
        <w:right w:val="none" w:sz="0" w:space="0" w:color="auto"/>
      </w:divBdr>
      <w:divsChild>
        <w:div w:id="308247123">
          <w:marLeft w:val="0"/>
          <w:marRight w:val="0"/>
          <w:marTop w:val="0"/>
          <w:marBottom w:val="0"/>
          <w:divBdr>
            <w:top w:val="none" w:sz="0" w:space="0" w:color="auto"/>
            <w:left w:val="none" w:sz="0" w:space="0" w:color="auto"/>
            <w:bottom w:val="none" w:sz="0" w:space="0" w:color="auto"/>
            <w:right w:val="none" w:sz="0" w:space="0" w:color="auto"/>
          </w:divBdr>
          <w:divsChild>
            <w:div w:id="1088623404">
              <w:marLeft w:val="0"/>
              <w:marRight w:val="0"/>
              <w:marTop w:val="0"/>
              <w:marBottom w:val="0"/>
              <w:divBdr>
                <w:top w:val="none" w:sz="0" w:space="0" w:color="auto"/>
                <w:left w:val="none" w:sz="0" w:space="0" w:color="auto"/>
                <w:bottom w:val="none" w:sz="0" w:space="0" w:color="auto"/>
                <w:right w:val="none" w:sz="0" w:space="0" w:color="auto"/>
              </w:divBdr>
              <w:divsChild>
                <w:div w:id="112944500">
                  <w:marLeft w:val="0"/>
                  <w:marRight w:val="0"/>
                  <w:marTop w:val="0"/>
                  <w:marBottom w:val="0"/>
                  <w:divBdr>
                    <w:top w:val="none" w:sz="0" w:space="0" w:color="auto"/>
                    <w:left w:val="none" w:sz="0" w:space="0" w:color="auto"/>
                    <w:bottom w:val="none" w:sz="0" w:space="0" w:color="auto"/>
                    <w:right w:val="none" w:sz="0" w:space="0" w:color="auto"/>
                  </w:divBdr>
                  <w:divsChild>
                    <w:div w:id="698822619">
                      <w:marLeft w:val="0"/>
                      <w:marRight w:val="0"/>
                      <w:marTop w:val="0"/>
                      <w:marBottom w:val="0"/>
                      <w:divBdr>
                        <w:top w:val="none" w:sz="0" w:space="0" w:color="auto"/>
                        <w:left w:val="none" w:sz="0" w:space="0" w:color="auto"/>
                        <w:bottom w:val="none" w:sz="0" w:space="0" w:color="auto"/>
                        <w:right w:val="none" w:sz="0" w:space="0" w:color="auto"/>
                      </w:divBdr>
                    </w:div>
                  </w:divsChild>
                </w:div>
                <w:div w:id="881670292">
                  <w:marLeft w:val="0"/>
                  <w:marRight w:val="0"/>
                  <w:marTop w:val="0"/>
                  <w:marBottom w:val="0"/>
                  <w:divBdr>
                    <w:top w:val="none" w:sz="0" w:space="0" w:color="auto"/>
                    <w:left w:val="none" w:sz="0" w:space="0" w:color="auto"/>
                    <w:bottom w:val="none" w:sz="0" w:space="0" w:color="auto"/>
                    <w:right w:val="none" w:sz="0" w:space="0" w:color="auto"/>
                  </w:divBdr>
                  <w:divsChild>
                    <w:div w:id="1745059723">
                      <w:marLeft w:val="0"/>
                      <w:marRight w:val="0"/>
                      <w:marTop w:val="0"/>
                      <w:marBottom w:val="0"/>
                      <w:divBdr>
                        <w:top w:val="none" w:sz="0" w:space="0" w:color="auto"/>
                        <w:left w:val="none" w:sz="0" w:space="0" w:color="auto"/>
                        <w:bottom w:val="none" w:sz="0" w:space="0" w:color="auto"/>
                        <w:right w:val="none" w:sz="0" w:space="0" w:color="auto"/>
                      </w:divBdr>
                      <w:divsChild>
                        <w:div w:id="1417286376">
                          <w:marLeft w:val="0"/>
                          <w:marRight w:val="0"/>
                          <w:marTop w:val="0"/>
                          <w:marBottom w:val="0"/>
                          <w:divBdr>
                            <w:top w:val="none" w:sz="0" w:space="0" w:color="auto"/>
                            <w:left w:val="none" w:sz="0" w:space="0" w:color="auto"/>
                            <w:bottom w:val="none" w:sz="0" w:space="0" w:color="auto"/>
                            <w:right w:val="none" w:sz="0" w:space="0" w:color="auto"/>
                          </w:divBdr>
                          <w:divsChild>
                            <w:div w:id="18577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450954">
      <w:bodyDiv w:val="1"/>
      <w:marLeft w:val="0"/>
      <w:marRight w:val="0"/>
      <w:marTop w:val="0"/>
      <w:marBottom w:val="0"/>
      <w:divBdr>
        <w:top w:val="none" w:sz="0" w:space="0" w:color="auto"/>
        <w:left w:val="none" w:sz="0" w:space="0" w:color="auto"/>
        <w:bottom w:val="none" w:sz="0" w:space="0" w:color="auto"/>
        <w:right w:val="none" w:sz="0" w:space="0" w:color="auto"/>
      </w:divBdr>
      <w:divsChild>
        <w:div w:id="554239805">
          <w:marLeft w:val="0"/>
          <w:marRight w:val="0"/>
          <w:marTop w:val="0"/>
          <w:marBottom w:val="0"/>
          <w:divBdr>
            <w:top w:val="none" w:sz="0" w:space="0" w:color="auto"/>
            <w:left w:val="none" w:sz="0" w:space="0" w:color="auto"/>
            <w:bottom w:val="none" w:sz="0" w:space="0" w:color="auto"/>
            <w:right w:val="none" w:sz="0" w:space="0" w:color="auto"/>
          </w:divBdr>
        </w:div>
        <w:div w:id="889730444">
          <w:marLeft w:val="0"/>
          <w:marRight w:val="0"/>
          <w:marTop w:val="0"/>
          <w:marBottom w:val="0"/>
          <w:divBdr>
            <w:top w:val="none" w:sz="0" w:space="0" w:color="auto"/>
            <w:left w:val="none" w:sz="0" w:space="0" w:color="auto"/>
            <w:bottom w:val="none" w:sz="0" w:space="0" w:color="auto"/>
            <w:right w:val="none" w:sz="0" w:space="0" w:color="auto"/>
          </w:divBdr>
        </w:div>
        <w:div w:id="1319269020">
          <w:marLeft w:val="0"/>
          <w:marRight w:val="0"/>
          <w:marTop w:val="0"/>
          <w:marBottom w:val="0"/>
          <w:divBdr>
            <w:top w:val="none" w:sz="0" w:space="0" w:color="auto"/>
            <w:left w:val="none" w:sz="0" w:space="0" w:color="auto"/>
            <w:bottom w:val="none" w:sz="0" w:space="0" w:color="auto"/>
            <w:right w:val="none" w:sz="0" w:space="0" w:color="auto"/>
          </w:divBdr>
        </w:div>
        <w:div w:id="1360399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sn.brin.go.id/terbit/detail/20211125231089422" TargetMode="External"/><Relationship Id="rId13" Type="http://schemas.openxmlformats.org/officeDocument/2006/relationships/hyperlink" Target="mailto:husnul.haq@uinsatu.ac.id"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sn.brin.go.id/terbit/detail/20211125560915306"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doi.org/10.21154/antologihukum.v6i1.5768" TargetMode="External"/><Relationship Id="rId23" Type="http://schemas.openxmlformats.org/officeDocument/2006/relationships/fontTable" Target="fontTable.xml"/><Relationship Id="rId10" Type="http://schemas.openxmlformats.org/officeDocument/2006/relationships/hyperlink" Target="https://issn.brin.go.id/terbit/detail/20211125231089422"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ssn.brin.go.id/terbit/detail/20211125560915306" TargetMode="External"/><Relationship Id="rId14" Type="http://schemas.openxmlformats.org/officeDocument/2006/relationships/hyperlink" Target="mailto:septiwulansari@uinsatu.ac.id"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49DF813AB1B24F83D9D8F0A5494D57"/>
        <w:category>
          <w:name w:val="Umum"/>
          <w:gallery w:val="placeholder"/>
        </w:category>
        <w:types>
          <w:type w:val="bbPlcHdr"/>
        </w:types>
        <w:behaviors>
          <w:behavior w:val="content"/>
        </w:behaviors>
        <w:guid w:val="{9096277E-4F1F-5640-8841-F7382B5FD09B}"/>
      </w:docPartPr>
      <w:docPartBody>
        <w:p w:rsidR="009C7084" w:rsidRDefault="008301B7" w:rsidP="008301B7">
          <w:pPr>
            <w:pStyle w:val="1049DF813AB1B24F83D9D8F0A5494D57"/>
          </w:pPr>
          <w:r>
            <w:rPr>
              <w:caps/>
              <w:color w:val="FFFFFF" w:themeColor="background1"/>
            </w:rPr>
            <w:t>[Nama Penulis]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Jamia2014">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 w:name="Naskhi">
    <w:altName w:val="Times New Roman"/>
    <w:charset w:val="B2"/>
    <w:family w:val="auto"/>
    <w:pitch w:val="default"/>
    <w:sig w:usb0="00002001" w:usb1="00000000" w:usb2="00000000" w:usb3="00000000" w:csb0="0000004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1B7"/>
    <w:rsid w:val="001070AF"/>
    <w:rsid w:val="001516A3"/>
    <w:rsid w:val="002753C5"/>
    <w:rsid w:val="00336F76"/>
    <w:rsid w:val="0036370F"/>
    <w:rsid w:val="003713A8"/>
    <w:rsid w:val="003C1ADE"/>
    <w:rsid w:val="00464A93"/>
    <w:rsid w:val="00633FD2"/>
    <w:rsid w:val="006815A2"/>
    <w:rsid w:val="00740008"/>
    <w:rsid w:val="00795D15"/>
    <w:rsid w:val="007D4BB4"/>
    <w:rsid w:val="008301B7"/>
    <w:rsid w:val="00871A6A"/>
    <w:rsid w:val="008D112C"/>
    <w:rsid w:val="009B1A41"/>
    <w:rsid w:val="009C7084"/>
    <w:rsid w:val="009F4438"/>
    <w:rsid w:val="00BC173E"/>
    <w:rsid w:val="00D40B01"/>
    <w:rsid w:val="00D65D7F"/>
    <w:rsid w:val="00EE4B16"/>
    <w:rsid w:val="00EF4168"/>
    <w:rsid w:val="00FB12C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049DF813AB1B24F83D9D8F0A5494D57">
    <w:name w:val="1049DF813AB1B24F83D9D8F0A5494D57"/>
    <w:rsid w:val="008301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CDCE26-03D6-42D6-BE9C-EC1E65075EA4}">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59214827724"/>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D4D6C-DABB-4EBE-A218-07678E5A0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5882</Words>
  <Characters>33533</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39337</CharactersWithSpaces>
  <SharedDoc>false</SharedDoc>
  <HLinks>
    <vt:vector size="18" baseType="variant">
      <vt:variant>
        <vt:i4>65594</vt:i4>
      </vt:variant>
      <vt:variant>
        <vt:i4>6</vt:i4>
      </vt:variant>
      <vt:variant>
        <vt:i4>0</vt:i4>
      </vt:variant>
      <vt:variant>
        <vt:i4>5</vt:i4>
      </vt:variant>
      <vt:variant>
        <vt:lpwstr>mailto:deden.najmudin@uinsgd.ac.id</vt:lpwstr>
      </vt:variant>
      <vt:variant>
        <vt:lpwstr/>
      </vt:variant>
      <vt:variant>
        <vt:i4>393342</vt:i4>
      </vt:variant>
      <vt:variant>
        <vt:i4>3</vt:i4>
      </vt:variant>
      <vt:variant>
        <vt:i4>0</vt:i4>
      </vt:variant>
      <vt:variant>
        <vt:i4>5</vt:i4>
      </vt:variant>
      <vt:variant>
        <vt:lpwstr>mailto:azizsholeh@uinsgd.ac.id</vt:lpwstr>
      </vt:variant>
      <vt:variant>
        <vt:lpwstr/>
      </vt:variant>
      <vt:variant>
        <vt:i4>4194354</vt:i4>
      </vt:variant>
      <vt:variant>
        <vt:i4>0</vt:i4>
      </vt:variant>
      <vt:variant>
        <vt:i4>0</vt:i4>
      </vt:variant>
      <vt:variant>
        <vt:i4>5</vt:i4>
      </vt:variant>
      <vt:variant>
        <vt:lpwstr>mailto:pebriansyahryan442@gmail.com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Editorial Office: Faculty of Sharia, IAIN Ponorogo, Jalan Puspita Jaya, Pintu Village, Jenangan District, Ponorogo Regency 63492, Indonesia, 📞 Phone: (0352) 3592508, 🌐 Website: https://ejournal.iainponorogo.ac.id/index.php/antologihukum, ✉️ Email: antologihukum@iainponorogo.ac.id</dc:creator>
  <cp:keywords/>
  <dc:description/>
  <cp:lastModifiedBy>KU</cp:lastModifiedBy>
  <cp:revision>4</cp:revision>
  <cp:lastPrinted>2025-07-23T04:31:00Z</cp:lastPrinted>
  <dcterms:created xsi:type="dcterms:W3CDTF">2026-05-17T03:59:00Z</dcterms:created>
  <dcterms:modified xsi:type="dcterms:W3CDTF">2026-05-17T05:11:00Z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id="Wu1JogCn"/&gt;&lt;style id="http://www.zotero.org/styles/chicago-fullnote-bibliography" locale="id-ID" hasBibliography="1" bibliographyStyleHasBeenSet="1"/&gt;&lt;prefs&gt;&lt;pref name="fieldType" value="Field"/&gt;</vt:lpwstr>
  </property>
  <property fmtid="{D5CDD505-2E9C-101B-9397-08002B2CF9AE}" pid="3" name="ZOTERO_PREF_2">
    <vt:lpwstr>&lt;pref name="storeReferences" value="true"/&gt;&lt;pref name="automaticJournalAbbreviations" value="true"/&gt;&lt;pref name="noteType" value="1"/&gt;&lt;/prefs&gt;&lt;/data&gt;</vt:lpwstr>
  </property>
</Properties>
</file>